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outlineLvl w:val="1"/>
        <w:rPr>
          <w:rFonts w:ascii="方正小标宋_GBK" w:hAnsi="宋体" w:eastAsia="方正小标宋_GBK"/>
          <w:kern w:val="0"/>
          <w:sz w:val="44"/>
          <w:szCs w:val="44"/>
        </w:rPr>
      </w:pPr>
      <w:r>
        <w:rPr>
          <w:rFonts w:ascii="方正小标宋_GBK" w:hAnsi="宋体" w:eastAsia="方正小标宋_GBK"/>
          <w:kern w:val="0"/>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_GBK" w:hAnsi="宋体" w:eastAsia="方正小标宋_GBK"/>
          <w:kern w:val="0"/>
          <w:sz w:val="44"/>
          <w:szCs w:val="44"/>
        </w:rPr>
        <w:instrText xml:space="preserve">ADDIN CNKISM.UserStyle</w:instrText>
      </w:r>
      <w:r>
        <w:rPr>
          <w:rFonts w:ascii="方正小标宋_GBK" w:hAnsi="宋体" w:eastAsia="方正小标宋_GBK"/>
          <w:kern w:val="0"/>
          <w:sz w:val="44"/>
          <w:szCs w:val="44"/>
        </w:rPr>
        <w:fldChar w:fldCharType="end"/>
      </w:r>
      <w:r>
        <w:rPr>
          <w:rFonts w:hint="eastAsia" w:ascii="方正小标宋_GBK" w:hAnsi="宋体" w:eastAsia="方正小标宋_GBK"/>
          <w:kern w:val="0"/>
          <w:sz w:val="44"/>
          <w:szCs w:val="44"/>
        </w:rPr>
        <w:t>高新区（新市区）青格达湖卫生院</w:t>
      </w:r>
    </w:p>
    <w:p>
      <w:pPr>
        <w:widowControl/>
        <w:spacing w:before="100" w:beforeAutospacing="1" w:after="100" w:afterAutospacing="1"/>
        <w:jc w:val="center"/>
        <w:outlineLvl w:val="1"/>
        <w:rPr>
          <w:rFonts w:ascii="方正小标宋_GBK" w:hAnsi="宋体" w:eastAsia="方正小标宋_GBK"/>
          <w:kern w:val="0"/>
          <w:sz w:val="44"/>
          <w:szCs w:val="44"/>
        </w:rPr>
      </w:pPr>
      <w:r>
        <w:rPr>
          <w:rFonts w:hint="eastAsia" w:ascii="方正小标宋_GBK" w:hAnsi="宋体" w:eastAsia="方正小标宋_GBK"/>
          <w:kern w:val="0"/>
          <w:sz w:val="44"/>
          <w:szCs w:val="44"/>
        </w:rPr>
        <w:t>2019年部门预算公开</w:t>
      </w:r>
    </w:p>
    <w:p>
      <w:pPr>
        <w:widowControl/>
        <w:spacing w:line="500" w:lineRule="exact"/>
        <w:jc w:val="center"/>
        <w:outlineLvl w:val="1"/>
        <w:rPr>
          <w:rFonts w:ascii="黑体" w:hAnsi="黑体" w:eastAsia="黑体"/>
          <w:kern w:val="0"/>
          <w:sz w:val="44"/>
          <w:szCs w:val="44"/>
        </w:rPr>
      </w:pPr>
      <w:r>
        <w:rPr>
          <w:rFonts w:hint="eastAsia" w:ascii="黑体" w:hAnsi="黑体" w:eastAsia="黑体"/>
          <w:kern w:val="0"/>
          <w:sz w:val="44"/>
          <w:szCs w:val="44"/>
        </w:rPr>
        <w:t>目录</w:t>
      </w:r>
    </w:p>
    <w:p>
      <w:pPr>
        <w:widowControl/>
        <w:spacing w:line="500" w:lineRule="exact"/>
        <w:jc w:val="center"/>
        <w:outlineLvl w:val="1"/>
        <w:rPr>
          <w:rFonts w:ascii="宋体" w:hAnsi="宋体"/>
          <w:b/>
          <w:kern w:val="0"/>
          <w:sz w:val="44"/>
          <w:szCs w:val="44"/>
        </w:rPr>
      </w:pPr>
    </w:p>
    <w:p>
      <w:pPr>
        <w:widowControl/>
        <w:spacing w:line="460" w:lineRule="exact"/>
        <w:outlineLvl w:val="1"/>
        <w:rPr>
          <w:rFonts w:ascii="仿宋_GB2312" w:hAnsi="宋体" w:eastAsia="仿宋_GB2312"/>
          <w:b/>
          <w:kern w:val="0"/>
          <w:sz w:val="32"/>
          <w:szCs w:val="32"/>
        </w:rPr>
      </w:pPr>
      <w:r>
        <w:rPr>
          <w:rFonts w:hint="eastAsia" w:ascii="仿宋_GB2312" w:hAnsi="宋体" w:eastAsia="仿宋_GB2312"/>
          <w:b/>
          <w:kern w:val="0"/>
          <w:sz w:val="32"/>
          <w:szCs w:val="32"/>
        </w:rPr>
        <w:t>第一部分  青格达湖卫生院部门单位概况</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一、主要职能</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二、机构设置及人员情况</w:t>
      </w:r>
    </w:p>
    <w:p>
      <w:pPr>
        <w:widowControl/>
        <w:spacing w:line="460" w:lineRule="exact"/>
        <w:outlineLvl w:val="1"/>
        <w:rPr>
          <w:rFonts w:ascii="仿宋_GB2312" w:hAnsi="宋体" w:eastAsia="仿宋_GB2312"/>
          <w:b/>
          <w:kern w:val="0"/>
          <w:sz w:val="32"/>
          <w:szCs w:val="32"/>
        </w:rPr>
      </w:pPr>
      <w:r>
        <w:rPr>
          <w:rFonts w:hint="eastAsia" w:ascii="仿宋_GB2312" w:hAnsi="宋体" w:eastAsia="仿宋_GB2312"/>
          <w:b/>
          <w:kern w:val="0"/>
          <w:sz w:val="32"/>
          <w:szCs w:val="32"/>
        </w:rPr>
        <w:t xml:space="preserve">第二部分  </w:t>
      </w:r>
      <w:r>
        <w:rPr>
          <w:rFonts w:hint="eastAsia" w:ascii="宋体" w:hAnsi="宋体" w:eastAsia="仿宋_GB2312"/>
          <w:b/>
          <w:kern w:val="0"/>
          <w:sz w:val="32"/>
          <w:szCs w:val="32"/>
        </w:rPr>
        <w:t>2019</w:t>
      </w:r>
      <w:r>
        <w:rPr>
          <w:rFonts w:hint="eastAsia" w:ascii="仿宋_GB2312" w:hAnsi="宋体" w:eastAsia="仿宋_GB2312"/>
          <w:b/>
          <w:kern w:val="0"/>
          <w:sz w:val="32"/>
          <w:szCs w:val="32"/>
        </w:rPr>
        <w:t>年部门预算公开表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一、部门收支总体情况表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二、部门收入总体情况表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三、部门支出总体情况表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四、财政拨款收支总体情况表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五、一般公共预算支出情况表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六、一般公共预算基本支出情况表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七、</w:t>
      </w:r>
      <w:r>
        <w:rPr>
          <w:rFonts w:hint="eastAsia" w:ascii="仿宋_GB2312" w:hAnsi="宋体" w:eastAsia="仿宋_GB2312"/>
          <w:bCs/>
          <w:kern w:val="0"/>
          <w:sz w:val="32"/>
          <w:szCs w:val="32"/>
        </w:rPr>
        <w:t>项目支出情况表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八、一般公共预算“三公”经费支出情况表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九、政府性基金预算支出情况表</w:t>
      </w:r>
    </w:p>
    <w:p>
      <w:pPr>
        <w:widowControl/>
        <w:spacing w:line="460" w:lineRule="exact"/>
        <w:outlineLvl w:val="1"/>
        <w:rPr>
          <w:rFonts w:ascii="仿宋_GB2312" w:hAnsi="宋体" w:eastAsia="仿宋_GB2312"/>
          <w:b/>
          <w:kern w:val="0"/>
          <w:sz w:val="32"/>
          <w:szCs w:val="32"/>
        </w:rPr>
      </w:pPr>
      <w:r>
        <w:rPr>
          <w:rFonts w:hint="eastAsia" w:ascii="仿宋_GB2312" w:hAnsi="宋体" w:eastAsia="仿宋_GB2312"/>
          <w:b/>
          <w:kern w:val="0"/>
          <w:sz w:val="32"/>
          <w:szCs w:val="32"/>
        </w:rPr>
        <w:t>第三部分  2019年部门预算情况说明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一、关于青格达湖卫生院2019年收支预算情况的总体说明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二、关于青格达湖卫生院2019年收入预算情况说明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三、关于青格达湖卫生院2019年支出预算情况说明</w:t>
      </w:r>
    </w:p>
    <w:p>
      <w:pPr>
        <w:widowControl/>
        <w:spacing w:line="460" w:lineRule="exact"/>
        <w:outlineLvl w:val="1"/>
        <w:rPr>
          <w:rFonts w:ascii="仿宋_GB2312" w:hAnsi="宋体" w:eastAsia="仿宋_GB2312"/>
          <w:bCs/>
          <w:kern w:val="0"/>
          <w:sz w:val="32"/>
          <w:szCs w:val="32"/>
        </w:rPr>
      </w:pPr>
      <w:r>
        <w:rPr>
          <w:rFonts w:hint="eastAsia" w:ascii="仿宋_GB2312" w:hAnsi="宋体" w:eastAsia="仿宋_GB2312"/>
          <w:bCs/>
          <w:kern w:val="0"/>
          <w:sz w:val="32"/>
          <w:szCs w:val="32"/>
        </w:rPr>
        <w:t>四、关于</w:t>
      </w:r>
      <w:r>
        <w:rPr>
          <w:rFonts w:hint="eastAsia" w:ascii="仿宋_GB2312" w:hAnsi="宋体" w:eastAsia="仿宋_GB2312"/>
          <w:kern w:val="0"/>
          <w:sz w:val="32"/>
          <w:szCs w:val="32"/>
        </w:rPr>
        <w:t>青格达湖卫生院2019</w:t>
      </w:r>
      <w:r>
        <w:rPr>
          <w:rFonts w:hint="eastAsia" w:ascii="仿宋_GB2312" w:hAnsi="宋体" w:eastAsia="仿宋_GB2312"/>
          <w:bCs/>
          <w:kern w:val="0"/>
          <w:sz w:val="32"/>
          <w:szCs w:val="32"/>
        </w:rPr>
        <w:t>年财政拨款收支预算情况的总体说明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五、关于青格达湖卫生院2019年一般公共预算当年拨款情况说明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六、关于青格达湖卫生院2019年一般公共预算基本支出情况说明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七、关于青格达湖卫生院2019年项目支出情况说明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八、关于青格达湖卫生院2019年一般公共预算“三公”经费预算情况说明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九、关于青格达湖卫生院2019年政府性基金预算拨款情况说明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十、其他重要事项的情况说明</w:t>
      </w:r>
    </w:p>
    <w:p>
      <w:pPr>
        <w:widowControl/>
        <w:spacing w:line="460" w:lineRule="exact"/>
        <w:outlineLvl w:val="1"/>
        <w:rPr>
          <w:rFonts w:ascii="仿宋_GB2312" w:hAnsi="宋体" w:eastAsia="仿宋_GB2312"/>
          <w:b/>
          <w:kern w:val="0"/>
          <w:sz w:val="32"/>
          <w:szCs w:val="32"/>
        </w:rPr>
      </w:pPr>
      <w:r>
        <w:rPr>
          <w:rFonts w:hint="eastAsia" w:ascii="仿宋_GB2312" w:hAnsi="宋体" w:eastAsia="仿宋_GB2312"/>
          <w:b/>
          <w:kern w:val="0"/>
          <w:sz w:val="32"/>
          <w:szCs w:val="32"/>
        </w:rPr>
        <w:t>第四部分  名词解释</w:t>
      </w:r>
    </w:p>
    <w:p>
      <w:pPr>
        <w:widowControl/>
        <w:jc w:val="center"/>
        <w:outlineLvl w:val="1"/>
        <w:rPr>
          <w:rFonts w:ascii="黑体" w:hAnsi="黑体" w:eastAsia="黑体"/>
          <w:kern w:val="0"/>
          <w:sz w:val="32"/>
          <w:szCs w:val="32"/>
        </w:rPr>
      </w:pPr>
    </w:p>
    <w:p>
      <w:pPr>
        <w:widowControl/>
        <w:jc w:val="center"/>
        <w:outlineLvl w:val="1"/>
        <w:rPr>
          <w:rFonts w:ascii="黑体" w:hAnsi="黑体" w:eastAsia="黑体"/>
          <w:kern w:val="0"/>
          <w:sz w:val="32"/>
          <w:szCs w:val="32"/>
        </w:rPr>
      </w:pPr>
    </w:p>
    <w:p>
      <w:pPr>
        <w:widowControl/>
        <w:jc w:val="center"/>
        <w:outlineLvl w:val="1"/>
        <w:rPr>
          <w:rFonts w:ascii="黑体" w:hAnsi="黑体" w:eastAsia="黑体"/>
          <w:kern w:val="0"/>
          <w:sz w:val="32"/>
          <w:szCs w:val="32"/>
        </w:rPr>
      </w:pPr>
    </w:p>
    <w:p>
      <w:pPr>
        <w:widowControl/>
        <w:ind w:firstLine="1760" w:firstLineChars="550"/>
        <w:outlineLvl w:val="1"/>
        <w:rPr>
          <w:rFonts w:ascii="黑体" w:hAnsi="黑体" w:eastAsia="黑体"/>
          <w:kern w:val="0"/>
          <w:sz w:val="32"/>
          <w:szCs w:val="32"/>
        </w:rPr>
      </w:pPr>
      <w:r>
        <w:rPr>
          <w:rFonts w:hint="eastAsia" w:ascii="黑体" w:hAnsi="黑体" w:eastAsia="黑体"/>
          <w:kern w:val="0"/>
          <w:sz w:val="32"/>
          <w:szCs w:val="32"/>
        </w:rPr>
        <w:t>第一部分   青格达湖卫生院部门单位概况</w:t>
      </w:r>
    </w:p>
    <w:p>
      <w:pPr>
        <w:widowControl/>
        <w:jc w:val="center"/>
        <w:outlineLvl w:val="1"/>
        <w:rPr>
          <w:rFonts w:ascii="宋体" w:hAnsi="宋体"/>
          <w:b/>
          <w:kern w:val="0"/>
          <w:sz w:val="32"/>
          <w:szCs w:val="32"/>
        </w:rPr>
      </w:pPr>
    </w:p>
    <w:p>
      <w:pPr>
        <w:widowControl/>
        <w:spacing w:line="560" w:lineRule="exact"/>
        <w:jc w:val="left"/>
        <w:rPr>
          <w:rFonts w:ascii="黑体" w:hAnsi="黑体" w:eastAsia="黑体" w:cs="宋体"/>
          <w:bCs/>
          <w:kern w:val="0"/>
          <w:sz w:val="32"/>
          <w:szCs w:val="32"/>
        </w:rPr>
      </w:pPr>
      <w:r>
        <w:rPr>
          <w:rFonts w:hint="eastAsia" w:ascii="仿宋_GB2312" w:hAnsi="宋体" w:eastAsia="仿宋_GB2312" w:cs="宋体"/>
          <w:kern w:val="0"/>
          <w:sz w:val="32"/>
          <w:szCs w:val="32"/>
        </w:rPr>
        <w:t xml:space="preserve">　  </w:t>
      </w:r>
      <w:r>
        <w:rPr>
          <w:rFonts w:hint="eastAsia" w:ascii="黑体" w:hAnsi="黑体" w:eastAsia="黑体" w:cs="宋体"/>
          <w:bCs/>
          <w:kern w:val="0"/>
          <w:sz w:val="32"/>
          <w:szCs w:val="32"/>
        </w:rPr>
        <w:t>一、主要职能</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青格达湖卫生院是一所集医疗、预防、保健、公共卫生服务为一体的综合性卫生院，主要承担辖区内6708人口的基本公共卫生服务和基本医疗服务。我院位于高新区青格达湖乡，于1992年07月正式挂牌成立，现有业务用房500平方米，我院现有职工8人。</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卫生院以公共卫生服务为主，综合提供预防、保健和基本医疗等服务。</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1、建立和管理的居民档案，进行信息采集、体格检查、归档保管、配备电子信息卡、入户服务、随访更新。</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2、定期开展健康教育活动。发放健康教育折页、健康教育处方和健康手册，并播放和宣传音像资料。开展宣传教育的效果。</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3、加强农村疾病预防控制，做好传染病、地方病防治和疫情等农村突发性公共卫生事件报告工作，重点控制严重危害农民身体健康的传染病、地方病、职业病和寄生虫病等重大疾病。</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4、认真执行儿童计划免疫。为适龄儿童建立儿童档案，并为其接种各类疫苗。积极开展慢性非传染性疾病的防治工作。</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5、做好农村孕产妇和儿童保健工作，提高住院分娩率，改善儿童营养状况。提供孕妇营养、心理等健康指导。对儿童进行体格检查，生长发育的评估，口腔检查和保健咨询。</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6、积极做好新型农村合作医疗的服务、计划生育技术指导、康复等工作。</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7、开展爱国卫生运动，普及疾病预防和卫生保健知识，指导群众改善居住、饮食、饮水和环境卫生条件，引导和帮助农民建立良好的卫生习惯。</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8、对65岁及以上的老年人进行每年一次健康管理服务。提供免费的体检、和老年人自我保健及伤害预防、自救等健康指导，并建立老年人档案，且管理。</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9、做好重性精神病患者的随访工作。对其病情进行评估，督促服药，健康教育和康复指导。并定期对其进行体检。</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10、对糖尿病高危人群、高血压高危人群的登记管理工作。提供健康检查、用药指导、病情监测、行为干涉等工作。</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11、对辖区内的适龄儿童和65岁以上老人进行中医药健康指导，并提供相关服务。</w:t>
      </w:r>
    </w:p>
    <w:p>
      <w:pPr>
        <w:widowControl/>
        <w:shd w:val="clear" w:color="auto" w:fill="FFFFFF"/>
        <w:ind w:firstLine="482"/>
        <w:jc w:val="left"/>
        <w:rPr>
          <w:rFonts w:ascii="仿宋_GB2312" w:hAnsi="宋体" w:eastAsia="仿宋_GB2312"/>
          <w:kern w:val="0"/>
          <w:sz w:val="32"/>
          <w:szCs w:val="32"/>
        </w:rPr>
      </w:pPr>
      <w:r>
        <w:rPr>
          <w:rFonts w:hint="eastAsia" w:ascii="黑体" w:hAnsi="黑体" w:eastAsia="黑体" w:cs="宋体"/>
          <w:bCs/>
          <w:kern w:val="0"/>
          <w:sz w:val="32"/>
          <w:szCs w:val="32"/>
        </w:rPr>
        <w:t>二、机构设置及人员情况</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本单位无下属预算单位，下设 6个处室及四个村卫生室，分别是：院长办公室、财务室、公共卫生科、药房、医技、护理，新联村卫生室、联合村卫生室、天山村卫生室、青湖村卫生室。</w:t>
      </w:r>
    </w:p>
    <w:p>
      <w:pPr>
        <w:widowControl/>
        <w:shd w:val="clear" w:color="auto" w:fill="FFFFFF"/>
        <w:ind w:firstLine="482"/>
        <w:jc w:val="left"/>
        <w:rPr>
          <w:rFonts w:ascii="仿宋_GB2312" w:hAnsi="宋体" w:eastAsia="仿宋_GB2312"/>
          <w:kern w:val="0"/>
          <w:sz w:val="32"/>
          <w:szCs w:val="32"/>
        </w:rPr>
      </w:pPr>
      <w:r>
        <w:rPr>
          <w:rFonts w:hint="eastAsia" w:ascii="仿宋_GB2312" w:hAnsi="宋体" w:eastAsia="仿宋_GB2312"/>
          <w:kern w:val="0"/>
          <w:sz w:val="32"/>
          <w:szCs w:val="32"/>
        </w:rPr>
        <w:t>本单位编制数8人，实有人数8人，其中：在职 8人，增加0人，减少1人； 退休0人，退职0人，增加0人，减少0人，离休0人。</w:t>
      </w: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beforeLines="50"/>
        <w:jc w:val="center"/>
        <w:outlineLvl w:val="1"/>
        <w:rPr>
          <w:rFonts w:ascii="黑体" w:hAnsi="黑体" w:eastAsia="黑体"/>
          <w:kern w:val="0"/>
          <w:sz w:val="32"/>
          <w:szCs w:val="32"/>
        </w:rPr>
      </w:pPr>
      <w:r>
        <w:rPr>
          <w:rFonts w:hint="eastAsia" w:ascii="黑体" w:hAnsi="黑体" w:eastAsia="黑体"/>
          <w:kern w:val="0"/>
          <w:sz w:val="32"/>
          <w:szCs w:val="32"/>
        </w:rPr>
        <w:t>第二部分  2019年部门预算公开表</w:t>
      </w:r>
    </w:p>
    <w:tbl>
      <w:tblPr>
        <w:tblStyle w:val="7"/>
        <w:tblW w:w="8789" w:type="dxa"/>
        <w:tblInd w:w="-269" w:type="dxa"/>
        <w:tblLayout w:type="fixed"/>
        <w:tblCellMar>
          <w:top w:w="0" w:type="dxa"/>
          <w:left w:w="0" w:type="dxa"/>
          <w:bottom w:w="0" w:type="dxa"/>
          <w:right w:w="0" w:type="dxa"/>
        </w:tblCellMar>
      </w:tblPr>
      <w:tblGrid>
        <w:gridCol w:w="617"/>
        <w:gridCol w:w="348"/>
        <w:gridCol w:w="348"/>
        <w:gridCol w:w="677"/>
        <w:gridCol w:w="573"/>
        <w:gridCol w:w="428"/>
        <w:gridCol w:w="1274"/>
        <w:gridCol w:w="382"/>
        <w:gridCol w:w="319"/>
        <w:gridCol w:w="347"/>
        <w:gridCol w:w="348"/>
        <w:gridCol w:w="348"/>
        <w:gridCol w:w="348"/>
        <w:gridCol w:w="348"/>
        <w:gridCol w:w="348"/>
        <w:gridCol w:w="1453"/>
        <w:gridCol w:w="283"/>
      </w:tblGrid>
      <w:tr>
        <w:tblPrEx>
          <w:tblLayout w:type="fixed"/>
          <w:tblCellMar>
            <w:top w:w="0" w:type="dxa"/>
            <w:left w:w="0" w:type="dxa"/>
            <w:bottom w:w="0" w:type="dxa"/>
            <w:right w:w="0" w:type="dxa"/>
          </w:tblCellMar>
        </w:tblPrEx>
        <w:trPr>
          <w:gridAfter w:val="1"/>
          <w:wAfter w:w="283" w:type="dxa"/>
          <w:trHeight w:val="345" w:hRule="atLeast"/>
        </w:trPr>
        <w:tc>
          <w:tcPr>
            <w:tcW w:w="8506" w:type="dxa"/>
            <w:gridSpan w:val="16"/>
            <w:vMerge w:val="restart"/>
            <w:tcBorders>
              <w:top w:val="nil"/>
              <w:left w:val="nil"/>
              <w:bottom w:val="nil"/>
              <w:right w:val="nil"/>
            </w:tcBorders>
            <w:shd w:val="clear" w:color="auto" w:fill="auto"/>
            <w:tcMar>
              <w:top w:w="15" w:type="dxa"/>
              <w:left w:w="15" w:type="dxa"/>
              <w:right w:w="15" w:type="dxa"/>
            </w:tcMar>
            <w:vAlign w:val="center"/>
          </w:tcPr>
          <w:p>
            <w:pPr>
              <w:widowControl/>
              <w:textAlignment w:val="center"/>
              <w:rPr>
                <w:rFonts w:hint="eastAsia" w:ascii="Default" w:hAnsi="Default" w:cs="Default" w:eastAsiaTheme="minorEastAsia"/>
                <w:b/>
                <w:color w:val="000000"/>
                <w:kern w:val="0"/>
                <w:sz w:val="28"/>
                <w:szCs w:val="28"/>
              </w:rPr>
            </w:pPr>
            <w:r>
              <w:rPr>
                <w:rFonts w:hint="eastAsia" w:ascii="Default" w:hAnsi="Default" w:cs="Default" w:eastAsiaTheme="minorEastAsia"/>
                <w:b/>
                <w:color w:val="000000"/>
                <w:kern w:val="0"/>
                <w:sz w:val="28"/>
                <w:szCs w:val="28"/>
              </w:rPr>
              <w:t>表一：</w:t>
            </w:r>
          </w:p>
          <w:p>
            <w:pPr>
              <w:widowControl/>
              <w:jc w:val="center"/>
              <w:textAlignment w:val="center"/>
              <w:rPr>
                <w:rFonts w:ascii="Default" w:hAnsi="Default" w:eastAsia="Default" w:cs="Default"/>
                <w:b/>
                <w:color w:val="000000"/>
                <w:sz w:val="28"/>
                <w:szCs w:val="28"/>
              </w:rPr>
            </w:pPr>
            <w:r>
              <w:rPr>
                <w:rFonts w:ascii="Default" w:hAnsi="Default" w:eastAsia="Default" w:cs="Default"/>
                <w:b/>
                <w:color w:val="000000"/>
                <w:kern w:val="0"/>
                <w:sz w:val="28"/>
                <w:szCs w:val="28"/>
              </w:rPr>
              <w:t>部门收支总体情况表</w:t>
            </w:r>
          </w:p>
        </w:tc>
      </w:tr>
      <w:tr>
        <w:tblPrEx>
          <w:tblLayout w:type="fixed"/>
          <w:tblCellMar>
            <w:top w:w="0" w:type="dxa"/>
            <w:left w:w="0" w:type="dxa"/>
            <w:bottom w:w="0" w:type="dxa"/>
            <w:right w:w="0" w:type="dxa"/>
          </w:tblCellMar>
        </w:tblPrEx>
        <w:trPr>
          <w:gridAfter w:val="1"/>
          <w:wAfter w:w="283" w:type="dxa"/>
          <w:trHeight w:val="345" w:hRule="atLeast"/>
        </w:trPr>
        <w:tc>
          <w:tcPr>
            <w:tcW w:w="8506" w:type="dxa"/>
            <w:gridSpan w:val="16"/>
            <w:vMerge w:val="continue"/>
            <w:tcBorders>
              <w:top w:val="nil"/>
              <w:left w:val="nil"/>
              <w:bottom w:val="nil"/>
              <w:right w:val="nil"/>
            </w:tcBorders>
            <w:shd w:val="clear" w:color="auto" w:fill="auto"/>
            <w:tcMar>
              <w:top w:w="15" w:type="dxa"/>
              <w:left w:w="15" w:type="dxa"/>
              <w:right w:w="15" w:type="dxa"/>
            </w:tcMar>
            <w:vAlign w:val="center"/>
          </w:tcPr>
          <w:p>
            <w:pPr>
              <w:jc w:val="center"/>
              <w:rPr>
                <w:rFonts w:ascii="Default" w:hAnsi="Default" w:eastAsia="Default" w:cs="Default"/>
                <w:b/>
                <w:color w:val="000000"/>
                <w:sz w:val="28"/>
                <w:szCs w:val="28"/>
              </w:rPr>
            </w:pPr>
          </w:p>
        </w:tc>
      </w:tr>
      <w:tr>
        <w:tblPrEx>
          <w:tblLayout w:type="fixed"/>
          <w:tblCellMar>
            <w:top w:w="0" w:type="dxa"/>
            <w:left w:w="0" w:type="dxa"/>
            <w:bottom w:w="0" w:type="dxa"/>
            <w:right w:w="0" w:type="dxa"/>
          </w:tblCellMar>
        </w:tblPrEx>
        <w:trPr>
          <w:gridAfter w:val="1"/>
          <w:wAfter w:w="283" w:type="dxa"/>
          <w:trHeight w:val="580" w:hRule="atLeast"/>
        </w:trPr>
        <w:tc>
          <w:tcPr>
            <w:tcW w:w="4647" w:type="dxa"/>
            <w:gridSpan w:val="8"/>
            <w:tcBorders>
              <w:top w:val="nil"/>
              <w:left w:val="nil"/>
              <w:bottom w:val="nil"/>
              <w:right w:val="nil"/>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编制部门:青格达湖卫生院</w:t>
            </w:r>
          </w:p>
        </w:tc>
        <w:tc>
          <w:tcPr>
            <w:tcW w:w="3859" w:type="dxa"/>
            <w:gridSpan w:val="8"/>
            <w:tcBorders>
              <w:top w:val="nil"/>
              <w:left w:val="nil"/>
              <w:bottom w:val="nil"/>
              <w:right w:val="nil"/>
            </w:tcBorders>
            <w:shd w:val="clear" w:color="auto" w:fill="auto"/>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单位：万元   </w:t>
            </w:r>
          </w:p>
        </w:tc>
      </w:tr>
      <w:tr>
        <w:tblPrEx>
          <w:tblLayout w:type="fixed"/>
          <w:tblCellMar>
            <w:top w:w="0" w:type="dxa"/>
            <w:left w:w="0" w:type="dxa"/>
            <w:bottom w:w="0" w:type="dxa"/>
            <w:right w:w="0" w:type="dxa"/>
          </w:tblCellMar>
        </w:tblPrEx>
        <w:trPr>
          <w:gridAfter w:val="1"/>
          <w:wAfter w:w="283" w:type="dxa"/>
          <w:trHeight w:val="345" w:hRule="atLeast"/>
        </w:trPr>
        <w:tc>
          <w:tcPr>
            <w:tcW w:w="256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收     入</w:t>
            </w:r>
          </w:p>
        </w:tc>
        <w:tc>
          <w:tcPr>
            <w:tcW w:w="5943" w:type="dxa"/>
            <w:gridSpan w:val="11"/>
            <w:tcBorders>
              <w:top w:val="single" w:color="000000" w:sz="4" w:space="0"/>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支     出</w:t>
            </w:r>
          </w:p>
        </w:tc>
      </w:tr>
      <w:tr>
        <w:tblPrEx>
          <w:tblLayout w:type="fixed"/>
          <w:tblCellMar>
            <w:top w:w="0" w:type="dxa"/>
            <w:left w:w="0" w:type="dxa"/>
            <w:bottom w:w="0" w:type="dxa"/>
            <w:right w:w="0" w:type="dxa"/>
          </w:tblCellMar>
        </w:tblPrEx>
        <w:trPr>
          <w:gridAfter w:val="1"/>
          <w:wAfter w:w="283" w:type="dxa"/>
          <w:trHeight w:val="345" w:hRule="atLeast"/>
        </w:trPr>
        <w:tc>
          <w:tcPr>
            <w:tcW w:w="1990"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项     目</w:t>
            </w:r>
          </w:p>
        </w:tc>
        <w:tc>
          <w:tcPr>
            <w:tcW w:w="5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预算数</w:t>
            </w:r>
          </w:p>
        </w:tc>
        <w:tc>
          <w:tcPr>
            <w:tcW w:w="2084" w:type="dxa"/>
            <w:gridSpan w:val="3"/>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功能分类</w:t>
            </w:r>
          </w:p>
        </w:tc>
        <w:tc>
          <w:tcPr>
            <w:tcW w:w="3859" w:type="dxa"/>
            <w:gridSpan w:val="8"/>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预算数</w:t>
            </w: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财政拨款（补助）</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201 一般公共服务支出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一般公共预算</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202 外交支出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政府性基金预算</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203 国防支出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教育收费（财政专户）</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204 公共安全支出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事业收入</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205 教育支出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事业单位经营收入</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206 科学技术支出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其他收入</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207 文化旅游体育与传媒支出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用事业基金弥补收支差额</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208 社会保障和就业支出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209 社会保险基金支出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210 卫生健康支出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211 节能环保支出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212 城乡社区支出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213 农林水支出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214 交通运输支出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215 资源勘探信息等支出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216 商业服务业等支出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217 金融支出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219 援助其他地区支出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220 自然资源海洋气象等支出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221 住房保障支出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222 粮油物资储备支出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223 国有资本经营预算支出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224 灾害防治及应急管理支出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227 预备费</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229 其他支出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231 债务还本支出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232 债务付息支出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233 债务发行费用支出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小      计</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小      计</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单位上年结余（不包括国库集中支付额度结余）</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230 转移性支出</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gridAfter w:val="1"/>
          <w:wAfter w:w="283" w:type="dxa"/>
          <w:trHeight w:val="300" w:hRule="atLeast"/>
        </w:trPr>
        <w:tc>
          <w:tcPr>
            <w:tcW w:w="1990" w:type="dxa"/>
            <w:gridSpan w:val="4"/>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收 入 总 计</w:t>
            </w:r>
          </w:p>
        </w:tc>
        <w:tc>
          <w:tcPr>
            <w:tcW w:w="57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2084"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支 出 总 计</w:t>
            </w:r>
          </w:p>
        </w:tc>
        <w:tc>
          <w:tcPr>
            <w:tcW w:w="3859" w:type="dxa"/>
            <w:gridSpan w:val="8"/>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r>
      <w:tr>
        <w:tblPrEx>
          <w:tblLayout w:type="fixed"/>
          <w:tblCellMar>
            <w:top w:w="0" w:type="dxa"/>
            <w:left w:w="0" w:type="dxa"/>
            <w:bottom w:w="0" w:type="dxa"/>
            <w:right w:w="0" w:type="dxa"/>
          </w:tblCellMar>
        </w:tblPrEx>
        <w:trPr>
          <w:trHeight w:val="810" w:hRule="atLeast"/>
        </w:trPr>
        <w:tc>
          <w:tcPr>
            <w:tcW w:w="6357" w:type="dxa"/>
            <w:gridSpan w:val="13"/>
            <w:tcBorders>
              <w:top w:val="nil"/>
              <w:left w:val="nil"/>
              <w:bottom w:val="nil"/>
              <w:right w:val="nil"/>
            </w:tcBorders>
            <w:shd w:val="clear" w:color="auto" w:fill="FFFFFF"/>
            <w:tcMar>
              <w:top w:w="15" w:type="dxa"/>
              <w:left w:w="15" w:type="dxa"/>
              <w:right w:w="15" w:type="dxa"/>
            </w:tcMar>
            <w:vAlign w:val="center"/>
          </w:tcPr>
          <w:p>
            <w:pPr>
              <w:widowControl/>
              <w:outlineLvl w:val="1"/>
              <w:rPr>
                <w:rFonts w:ascii="仿宋_GB2312" w:hAnsi="宋体" w:eastAsia="仿宋_GB2312"/>
                <w:b/>
                <w:kern w:val="0"/>
                <w:sz w:val="28"/>
                <w:szCs w:val="32"/>
              </w:rPr>
            </w:pPr>
            <w:r>
              <w:rPr>
                <w:rFonts w:hint="eastAsia" w:ascii="仿宋_GB2312" w:hAnsi="宋体" w:eastAsia="仿宋_GB2312"/>
                <w:b/>
                <w:kern w:val="0"/>
                <w:sz w:val="28"/>
                <w:szCs w:val="32"/>
              </w:rPr>
              <w:t>备注：无内容应公开空表并说明情况。</w:t>
            </w:r>
          </w:p>
          <w:p>
            <w:pPr>
              <w:widowControl/>
              <w:textAlignment w:val="center"/>
              <w:rPr>
                <w:rFonts w:hint="eastAsia" w:ascii="Default" w:hAnsi="Default" w:cs="Default" w:eastAsiaTheme="minorEastAsia"/>
                <w:b/>
                <w:color w:val="000000"/>
                <w:kern w:val="0"/>
                <w:sz w:val="26"/>
                <w:szCs w:val="26"/>
              </w:rPr>
            </w:pPr>
          </w:p>
          <w:p>
            <w:pPr>
              <w:widowControl/>
              <w:textAlignment w:val="center"/>
              <w:rPr>
                <w:rFonts w:hint="eastAsia" w:ascii="Default" w:hAnsi="Default" w:cs="Default" w:eastAsiaTheme="minorEastAsia"/>
                <w:b/>
                <w:color w:val="000000"/>
                <w:kern w:val="0"/>
                <w:sz w:val="26"/>
                <w:szCs w:val="26"/>
              </w:rPr>
            </w:pPr>
          </w:p>
          <w:p>
            <w:pPr>
              <w:widowControl/>
              <w:textAlignment w:val="center"/>
              <w:rPr>
                <w:rFonts w:hint="eastAsia" w:ascii="Default" w:hAnsi="Default" w:cs="Default" w:eastAsiaTheme="minorEastAsia"/>
                <w:b/>
                <w:color w:val="000000"/>
                <w:kern w:val="0"/>
                <w:sz w:val="26"/>
                <w:szCs w:val="26"/>
              </w:rPr>
            </w:pPr>
          </w:p>
          <w:p>
            <w:pPr>
              <w:widowControl/>
              <w:textAlignment w:val="center"/>
              <w:rPr>
                <w:rFonts w:hint="eastAsia" w:ascii="Default" w:hAnsi="Default" w:cs="Default" w:eastAsiaTheme="minorEastAsia"/>
                <w:b/>
                <w:color w:val="000000"/>
                <w:kern w:val="0"/>
                <w:sz w:val="30"/>
                <w:szCs w:val="30"/>
              </w:rPr>
            </w:pPr>
            <w:r>
              <w:rPr>
                <w:rFonts w:ascii="Default" w:hAnsi="Default" w:eastAsia="Default" w:cs="Default"/>
                <w:b/>
                <w:color w:val="000000"/>
                <w:kern w:val="0"/>
                <w:sz w:val="26"/>
                <w:szCs w:val="26"/>
              </w:rPr>
              <w:t>表二：</w:t>
            </w:r>
          </w:p>
          <w:p>
            <w:pPr>
              <w:widowControl/>
              <w:jc w:val="center"/>
              <w:textAlignment w:val="center"/>
              <w:rPr>
                <w:rFonts w:ascii="Default" w:hAnsi="Default" w:eastAsia="Default" w:cs="Default"/>
                <w:b/>
                <w:color w:val="000000"/>
                <w:sz w:val="30"/>
                <w:szCs w:val="30"/>
              </w:rPr>
            </w:pPr>
            <w:r>
              <w:rPr>
                <w:rFonts w:ascii="Default" w:hAnsi="Default" w:eastAsia="Default" w:cs="Default"/>
                <w:b/>
                <w:color w:val="000000"/>
                <w:kern w:val="0"/>
                <w:sz w:val="30"/>
                <w:szCs w:val="30"/>
              </w:rPr>
              <w:t>部门收入总体情况表</w:t>
            </w:r>
          </w:p>
        </w:tc>
        <w:tc>
          <w:tcPr>
            <w:tcW w:w="348"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736" w:type="dxa"/>
            <w:gridSpan w:val="2"/>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435" w:hRule="atLeast"/>
        </w:trPr>
        <w:tc>
          <w:tcPr>
            <w:tcW w:w="6357" w:type="dxa"/>
            <w:gridSpan w:val="13"/>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填报部门:青格达湖卫生院</w:t>
            </w:r>
          </w:p>
        </w:tc>
        <w:tc>
          <w:tcPr>
            <w:tcW w:w="348"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2084" w:type="dxa"/>
            <w:gridSpan w:val="3"/>
            <w:tcBorders>
              <w:top w:val="nil"/>
              <w:left w:val="nil"/>
              <w:bottom w:val="nil"/>
              <w:right w:val="nil"/>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单位：万元</w:t>
            </w:r>
          </w:p>
        </w:tc>
      </w:tr>
      <w:tr>
        <w:tblPrEx>
          <w:tblLayout w:type="fixed"/>
          <w:tblCellMar>
            <w:top w:w="0" w:type="dxa"/>
            <w:left w:w="0" w:type="dxa"/>
            <w:bottom w:w="0" w:type="dxa"/>
            <w:right w:w="0" w:type="dxa"/>
          </w:tblCellMar>
        </w:tblPrEx>
        <w:trPr>
          <w:trHeight w:val="435" w:hRule="atLeast"/>
        </w:trPr>
        <w:tc>
          <w:tcPr>
            <w:tcW w:w="1313"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类</w:t>
            </w:r>
          </w:p>
        </w:tc>
        <w:tc>
          <w:tcPr>
            <w:tcW w:w="1678" w:type="dxa"/>
            <w:gridSpan w:val="3"/>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预算单位</w:t>
            </w:r>
          </w:p>
        </w:tc>
        <w:tc>
          <w:tcPr>
            <w:tcW w:w="1274"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总计</w:t>
            </w:r>
          </w:p>
        </w:tc>
        <w:tc>
          <w:tcPr>
            <w:tcW w:w="701"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一般公共预算拨款</w:t>
            </w:r>
          </w:p>
        </w:tc>
        <w:tc>
          <w:tcPr>
            <w:tcW w:w="347"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政府性基金预算</w:t>
            </w:r>
          </w:p>
        </w:tc>
        <w:tc>
          <w:tcPr>
            <w:tcW w:w="348"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教育收费(财政专户)</w:t>
            </w:r>
          </w:p>
        </w:tc>
        <w:tc>
          <w:tcPr>
            <w:tcW w:w="34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事业收入</w:t>
            </w:r>
          </w:p>
        </w:tc>
        <w:tc>
          <w:tcPr>
            <w:tcW w:w="348"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事业单位经营收入</w:t>
            </w:r>
          </w:p>
        </w:tc>
        <w:tc>
          <w:tcPr>
            <w:tcW w:w="348"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其他收入</w:t>
            </w:r>
          </w:p>
        </w:tc>
        <w:tc>
          <w:tcPr>
            <w:tcW w:w="34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用事业基金弥补收支差额</w:t>
            </w:r>
          </w:p>
        </w:tc>
        <w:tc>
          <w:tcPr>
            <w:tcW w:w="1736" w:type="dxa"/>
            <w:gridSpan w:val="2"/>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财政拨款结转结余(小计)</w:t>
            </w:r>
          </w:p>
        </w:tc>
      </w:tr>
      <w:tr>
        <w:tblPrEx>
          <w:tblLayout w:type="fixed"/>
          <w:tblCellMar>
            <w:top w:w="0" w:type="dxa"/>
            <w:left w:w="0" w:type="dxa"/>
            <w:bottom w:w="0" w:type="dxa"/>
            <w:right w:w="0" w:type="dxa"/>
          </w:tblCellMar>
        </w:tblPrEx>
        <w:trPr>
          <w:trHeight w:val="219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类</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款</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color w:val="000000"/>
                <w:sz w:val="20"/>
                <w:szCs w:val="20"/>
              </w:rPr>
            </w:pPr>
            <w:r>
              <w:rPr>
                <w:rFonts w:ascii="Default" w:hAnsi="Default" w:eastAsia="Default" w:cs="Default"/>
                <w:color w:val="000000"/>
                <w:kern w:val="0"/>
                <w:sz w:val="20"/>
                <w:szCs w:val="20"/>
              </w:rPr>
              <w:t>项</w:t>
            </w:r>
          </w:p>
        </w:tc>
        <w:tc>
          <w:tcPr>
            <w:tcW w:w="1678" w:type="dxa"/>
            <w:gridSpan w:val="3"/>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c>
          <w:tcPr>
            <w:tcW w:w="1274"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c>
          <w:tcPr>
            <w:tcW w:w="701"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c>
          <w:tcPr>
            <w:tcW w:w="347"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c>
          <w:tcPr>
            <w:tcW w:w="348"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c>
          <w:tcPr>
            <w:tcW w:w="34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c>
          <w:tcPr>
            <w:tcW w:w="348"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left"/>
              <w:rPr>
                <w:rFonts w:ascii="Default" w:hAnsi="Default" w:eastAsia="Default" w:cs="Default"/>
                <w:color w:val="000000"/>
                <w:sz w:val="20"/>
                <w:szCs w:val="20"/>
              </w:rPr>
            </w:pPr>
          </w:p>
        </w:tc>
        <w:tc>
          <w:tcPr>
            <w:tcW w:w="348"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c>
          <w:tcPr>
            <w:tcW w:w="34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c>
          <w:tcPr>
            <w:tcW w:w="1736" w:type="dxa"/>
            <w:gridSpan w:val="2"/>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青格达湖卫生院</w:t>
            </w: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210</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卫生健康支出</w:t>
            </w: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64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210</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03</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基层医疗卫生机构</w:t>
            </w: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48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210</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03</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02</w:t>
            </w: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乡镇卫生院</w:t>
            </w: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208</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社会保障和就业支出</w:t>
            </w: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78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208</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05</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行政事业单位离退休</w:t>
            </w: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78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208</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05</w:t>
            </w: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05</w:t>
            </w: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机关事业单位基本养老保险缴费支出</w:t>
            </w: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总计:</w:t>
            </w: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61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678"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27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01"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4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736"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bl>
    <w:p>
      <w:pPr>
        <w:widowControl/>
        <w:outlineLvl w:val="1"/>
        <w:rPr>
          <w:rFonts w:ascii="仿宋_GB2312" w:hAnsi="宋体" w:eastAsia="仿宋_GB2312"/>
          <w:b/>
          <w:kern w:val="0"/>
          <w:sz w:val="28"/>
          <w:szCs w:val="32"/>
        </w:rPr>
      </w:pPr>
      <w:r>
        <w:rPr>
          <w:rFonts w:hint="eastAsia" w:ascii="仿宋_GB2312" w:hAnsi="宋体" w:eastAsia="仿宋_GB2312"/>
          <w:b/>
          <w:kern w:val="0"/>
          <w:sz w:val="28"/>
          <w:szCs w:val="32"/>
        </w:rPr>
        <w:t>备注：无内容应公开空表并说明情况。</w:t>
      </w:r>
    </w:p>
    <w:p>
      <w:pPr>
        <w:widowControl/>
        <w:jc w:val="left"/>
        <w:outlineLvl w:val="1"/>
        <w:rPr>
          <w:rFonts w:ascii="仿宋_GB2312" w:hAnsi="宋体" w:eastAsia="仿宋_GB2312"/>
          <w:b/>
          <w:kern w:val="0"/>
          <w:sz w:val="32"/>
          <w:szCs w:val="32"/>
        </w:rPr>
      </w:pPr>
    </w:p>
    <w:p>
      <w:pPr>
        <w:widowControl/>
        <w:jc w:val="left"/>
        <w:outlineLvl w:val="1"/>
        <w:rPr>
          <w:rFonts w:ascii="仿宋_GB2312" w:hAnsi="宋体" w:eastAsia="仿宋_GB2312"/>
          <w:b/>
          <w:kern w:val="0"/>
          <w:sz w:val="32"/>
          <w:szCs w:val="32"/>
        </w:rPr>
      </w:pPr>
    </w:p>
    <w:p>
      <w:pPr>
        <w:widowControl/>
        <w:jc w:val="left"/>
        <w:outlineLvl w:val="1"/>
        <w:rPr>
          <w:rFonts w:ascii="仿宋_GB2312" w:hAnsi="宋体" w:eastAsia="仿宋_GB2312"/>
          <w:b/>
          <w:kern w:val="0"/>
          <w:sz w:val="32"/>
          <w:szCs w:val="32"/>
        </w:rPr>
      </w:pPr>
      <w:r>
        <w:rPr>
          <w:rFonts w:hint="eastAsia" w:ascii="仿宋_GB2312" w:hAnsi="宋体" w:eastAsia="仿宋_GB2312"/>
          <w:b/>
          <w:kern w:val="0"/>
          <w:sz w:val="32"/>
          <w:szCs w:val="32"/>
        </w:rPr>
        <w:t>表三：</w:t>
      </w:r>
    </w:p>
    <w:p>
      <w:pPr>
        <w:widowControl/>
        <w:jc w:val="center"/>
        <w:outlineLvl w:val="1"/>
        <w:rPr>
          <w:rFonts w:ascii="仿宋_GB2312" w:hAnsi="宋体" w:eastAsia="仿宋_GB2312"/>
          <w:b/>
          <w:kern w:val="0"/>
          <w:sz w:val="32"/>
          <w:szCs w:val="32"/>
        </w:rPr>
      </w:pPr>
      <w:r>
        <w:rPr>
          <w:rFonts w:hint="eastAsia" w:ascii="仿宋_GB2312" w:hAnsi="宋体" w:eastAsia="仿宋_GB2312"/>
          <w:b/>
          <w:kern w:val="0"/>
          <w:sz w:val="32"/>
          <w:szCs w:val="32"/>
        </w:rPr>
        <w:t>部门支出总体情况表</w:t>
      </w:r>
    </w:p>
    <w:p>
      <w:pPr>
        <w:widowControl/>
        <w:jc w:val="left"/>
        <w:outlineLvl w:val="1"/>
        <w:rPr>
          <w:rFonts w:ascii="仿宋_GB2312" w:hAnsi="宋体" w:eastAsia="仿宋_GB2312"/>
          <w:kern w:val="0"/>
          <w:sz w:val="24"/>
        </w:rPr>
      </w:pPr>
      <w:r>
        <w:rPr>
          <w:rFonts w:hint="eastAsia" w:ascii="仿宋_GB2312" w:hAnsi="宋体" w:eastAsia="仿宋_GB2312"/>
          <w:kern w:val="0"/>
          <w:sz w:val="24"/>
        </w:rPr>
        <w:t>编制部门：青格达湖卫生院                                        单位：万元</w:t>
      </w:r>
    </w:p>
    <w:tbl>
      <w:tblPr>
        <w:tblStyle w:val="7"/>
        <w:tblW w:w="9498" w:type="dxa"/>
        <w:tblInd w:w="-176" w:type="dxa"/>
        <w:tblLayout w:type="fixed"/>
        <w:tblCellMar>
          <w:top w:w="0" w:type="dxa"/>
          <w:left w:w="108" w:type="dxa"/>
          <w:bottom w:w="0" w:type="dxa"/>
          <w:right w:w="108" w:type="dxa"/>
        </w:tblCellMar>
      </w:tblPr>
      <w:tblGrid>
        <w:gridCol w:w="670"/>
        <w:gridCol w:w="400"/>
        <w:gridCol w:w="400"/>
        <w:gridCol w:w="2604"/>
        <w:gridCol w:w="1855"/>
        <w:gridCol w:w="1856"/>
        <w:gridCol w:w="1713"/>
      </w:tblGrid>
      <w:tr>
        <w:tblPrEx>
          <w:tblLayout w:type="fixed"/>
          <w:tblCellMar>
            <w:top w:w="0" w:type="dxa"/>
            <w:left w:w="108" w:type="dxa"/>
            <w:bottom w:w="0" w:type="dxa"/>
            <w:right w:w="108" w:type="dxa"/>
          </w:tblCellMar>
        </w:tblPrEx>
        <w:trPr>
          <w:trHeight w:val="345" w:hRule="atLeast"/>
        </w:trPr>
        <w:tc>
          <w:tcPr>
            <w:tcW w:w="407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项目</w:t>
            </w:r>
          </w:p>
        </w:tc>
        <w:tc>
          <w:tcPr>
            <w:tcW w:w="5424"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支出预算</w:t>
            </w:r>
          </w:p>
        </w:tc>
      </w:tr>
      <w:tr>
        <w:tblPrEx>
          <w:tblLayout w:type="fixed"/>
          <w:tblCellMar>
            <w:top w:w="0" w:type="dxa"/>
            <w:left w:w="108" w:type="dxa"/>
            <w:bottom w:w="0" w:type="dxa"/>
            <w:right w:w="108" w:type="dxa"/>
          </w:tblCellMar>
        </w:tblPrEx>
        <w:trPr>
          <w:trHeight w:val="480" w:hRule="atLeast"/>
        </w:trPr>
        <w:tc>
          <w:tcPr>
            <w:tcW w:w="147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功能分类科目编码</w:t>
            </w:r>
          </w:p>
        </w:tc>
        <w:tc>
          <w:tcPr>
            <w:tcW w:w="260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功能分类科目名称</w:t>
            </w:r>
          </w:p>
        </w:tc>
        <w:tc>
          <w:tcPr>
            <w:tcW w:w="1855"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合计</w:t>
            </w:r>
          </w:p>
        </w:tc>
        <w:tc>
          <w:tcPr>
            <w:tcW w:w="185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基本支出</w:t>
            </w:r>
          </w:p>
        </w:tc>
        <w:tc>
          <w:tcPr>
            <w:tcW w:w="1713"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项目支出</w:t>
            </w:r>
          </w:p>
        </w:tc>
      </w:tr>
      <w:tr>
        <w:tblPrEx>
          <w:tblLayout w:type="fixed"/>
          <w:tblCellMar>
            <w:top w:w="0" w:type="dxa"/>
            <w:left w:w="108" w:type="dxa"/>
            <w:bottom w:w="0" w:type="dxa"/>
            <w:right w:w="108" w:type="dxa"/>
          </w:tblCellMar>
        </w:tblPrEx>
        <w:trPr>
          <w:trHeight w:val="270"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r>
              <w:rPr>
                <w:rFonts w:hint="eastAsia" w:ascii="宋体" w:hAnsi="宋体" w:cs="宋体"/>
                <w:b/>
                <w:bCs/>
                <w:color w:val="000000"/>
                <w:kern w:val="0"/>
                <w:sz w:val="16"/>
                <w:szCs w:val="16"/>
              </w:rPr>
              <w:t>类</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r>
              <w:rPr>
                <w:rFonts w:hint="eastAsia" w:ascii="宋体" w:hAnsi="宋体" w:cs="宋体"/>
                <w:b/>
                <w:bCs/>
                <w:color w:val="000000"/>
                <w:kern w:val="0"/>
                <w:sz w:val="16"/>
                <w:szCs w:val="16"/>
              </w:rPr>
              <w:t>款</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r>
              <w:rPr>
                <w:rFonts w:hint="eastAsia" w:ascii="宋体" w:hAnsi="宋体" w:cs="宋体"/>
                <w:b/>
                <w:bCs/>
                <w:color w:val="000000"/>
                <w:kern w:val="0"/>
                <w:sz w:val="16"/>
                <w:szCs w:val="16"/>
              </w:rPr>
              <w:t>项</w:t>
            </w:r>
          </w:p>
        </w:tc>
        <w:tc>
          <w:tcPr>
            <w:tcW w:w="260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0"/>
              </w:rPr>
            </w:pPr>
          </w:p>
        </w:tc>
        <w:tc>
          <w:tcPr>
            <w:tcW w:w="1855"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0"/>
              </w:rPr>
            </w:pPr>
          </w:p>
        </w:tc>
        <w:tc>
          <w:tcPr>
            <w:tcW w:w="1856"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0"/>
              </w:rPr>
            </w:pPr>
          </w:p>
        </w:tc>
        <w:tc>
          <w:tcPr>
            <w:tcW w:w="1713"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0"/>
              </w:rPr>
            </w:pP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r>
              <w:rPr>
                <w:rFonts w:hint="eastAsia" w:ascii="宋体" w:hAnsi="宋体" w:cs="宋体"/>
                <w:b/>
                <w:bCs/>
                <w:color w:val="000000"/>
                <w:kern w:val="0"/>
                <w:sz w:val="16"/>
                <w:szCs w:val="16"/>
              </w:rPr>
              <w:t>总计</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p>
        </w:tc>
        <w:tc>
          <w:tcPr>
            <w:tcW w:w="26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1855" w:type="dxa"/>
            <w:tcBorders>
              <w:top w:val="nil"/>
              <w:left w:val="nil"/>
              <w:bottom w:val="single" w:color="auto" w:sz="4" w:space="0"/>
              <w:right w:val="single" w:color="auto" w:sz="4" w:space="0"/>
            </w:tcBorders>
            <w:shd w:val="clear" w:color="auto" w:fill="auto"/>
            <w:vAlign w:val="center"/>
          </w:tcPr>
          <w:p>
            <w:pPr>
              <w:widowControl/>
              <w:ind w:firstLine="442" w:firstLineChars="200"/>
              <w:rPr>
                <w:rFonts w:ascii="宋体" w:hAnsi="宋体" w:cs="宋体"/>
                <w:b/>
                <w:bCs/>
                <w:color w:val="000000"/>
                <w:kern w:val="0"/>
                <w:sz w:val="22"/>
                <w:szCs w:val="22"/>
              </w:rPr>
            </w:pPr>
            <w:r>
              <w:rPr>
                <w:rFonts w:hint="eastAsia" w:ascii="宋体" w:hAnsi="宋体" w:cs="宋体"/>
                <w:b/>
                <w:bCs/>
                <w:color w:val="000000"/>
                <w:kern w:val="0"/>
                <w:sz w:val="22"/>
                <w:szCs w:val="22"/>
              </w:rPr>
              <w:t>136.17　</w:t>
            </w:r>
          </w:p>
        </w:tc>
        <w:tc>
          <w:tcPr>
            <w:tcW w:w="18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108.21</w:t>
            </w:r>
          </w:p>
        </w:tc>
        <w:tc>
          <w:tcPr>
            <w:tcW w:w="17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p>
        </w:tc>
        <w:tc>
          <w:tcPr>
            <w:tcW w:w="26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青格达湖卫生院　</w:t>
            </w:r>
          </w:p>
        </w:tc>
        <w:tc>
          <w:tcPr>
            <w:tcW w:w="1855" w:type="dxa"/>
            <w:tcBorders>
              <w:top w:val="nil"/>
              <w:left w:val="nil"/>
              <w:bottom w:val="single" w:color="auto" w:sz="4" w:space="0"/>
              <w:right w:val="single" w:color="auto" w:sz="4" w:space="0"/>
            </w:tcBorders>
            <w:shd w:val="clear" w:color="auto" w:fill="auto"/>
            <w:vAlign w:val="center"/>
          </w:tcPr>
          <w:p>
            <w:pPr>
              <w:widowControl/>
              <w:ind w:firstLine="442" w:firstLineChars="200"/>
              <w:rPr>
                <w:rFonts w:ascii="宋体" w:hAnsi="宋体" w:cs="宋体"/>
                <w:b/>
                <w:bCs/>
                <w:color w:val="000000"/>
                <w:kern w:val="0"/>
                <w:sz w:val="22"/>
                <w:szCs w:val="22"/>
              </w:rPr>
            </w:pPr>
            <w:r>
              <w:rPr>
                <w:rFonts w:hint="eastAsia" w:ascii="宋体" w:hAnsi="宋体" w:cs="宋体"/>
                <w:b/>
                <w:bCs/>
                <w:color w:val="000000"/>
                <w:kern w:val="0"/>
                <w:sz w:val="22"/>
                <w:szCs w:val="22"/>
              </w:rPr>
              <w:t>136.17　</w:t>
            </w:r>
          </w:p>
        </w:tc>
        <w:tc>
          <w:tcPr>
            <w:tcW w:w="18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108.21</w:t>
            </w:r>
          </w:p>
        </w:tc>
        <w:tc>
          <w:tcPr>
            <w:tcW w:w="17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208</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6"/>
                <w:szCs w:val="16"/>
              </w:rPr>
            </w:pPr>
          </w:p>
        </w:tc>
        <w:tc>
          <w:tcPr>
            <w:tcW w:w="2604"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社会保障和就业支出</w:t>
            </w:r>
          </w:p>
        </w:tc>
        <w:tc>
          <w:tcPr>
            <w:tcW w:w="1855" w:type="dxa"/>
            <w:tcBorders>
              <w:top w:val="nil"/>
              <w:left w:val="nil"/>
              <w:bottom w:val="single" w:color="auto" w:sz="4" w:space="0"/>
              <w:right w:val="single" w:color="auto" w:sz="4" w:space="0"/>
            </w:tcBorders>
            <w:shd w:val="clear" w:color="auto" w:fill="auto"/>
          </w:tcPr>
          <w:p>
            <w:pPr>
              <w:ind w:firstLine="552" w:firstLineChars="250"/>
            </w:pPr>
            <w:r>
              <w:rPr>
                <w:rFonts w:hint="eastAsia" w:ascii="宋体" w:hAnsi="宋体" w:cs="宋体"/>
                <w:b/>
                <w:bCs/>
                <w:color w:val="000000"/>
                <w:kern w:val="0"/>
                <w:sz w:val="22"/>
                <w:szCs w:val="22"/>
              </w:rPr>
              <w:t>10.52</w:t>
            </w:r>
          </w:p>
        </w:tc>
        <w:tc>
          <w:tcPr>
            <w:tcW w:w="1856" w:type="dxa"/>
            <w:tcBorders>
              <w:top w:val="nil"/>
              <w:left w:val="nil"/>
              <w:bottom w:val="single" w:color="auto" w:sz="4" w:space="0"/>
              <w:right w:val="single" w:color="auto" w:sz="4" w:space="0"/>
            </w:tcBorders>
            <w:shd w:val="clear" w:color="auto" w:fill="auto"/>
          </w:tcPr>
          <w:p>
            <w:pPr>
              <w:ind w:firstLine="552" w:firstLineChars="250"/>
            </w:pPr>
            <w:r>
              <w:rPr>
                <w:rFonts w:hint="eastAsia" w:ascii="宋体" w:hAnsi="宋体" w:cs="宋体"/>
                <w:b/>
                <w:bCs/>
                <w:color w:val="000000"/>
                <w:kern w:val="0"/>
                <w:sz w:val="22"/>
                <w:szCs w:val="22"/>
              </w:rPr>
              <w:t>10.52</w:t>
            </w:r>
          </w:p>
        </w:tc>
        <w:tc>
          <w:tcPr>
            <w:tcW w:w="17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208</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05　</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2604"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行政事业单位离退休</w:t>
            </w:r>
          </w:p>
        </w:tc>
        <w:tc>
          <w:tcPr>
            <w:tcW w:w="1855" w:type="dxa"/>
            <w:tcBorders>
              <w:top w:val="nil"/>
              <w:left w:val="nil"/>
              <w:bottom w:val="single" w:color="auto" w:sz="4" w:space="0"/>
              <w:right w:val="single" w:color="auto" w:sz="4" w:space="0"/>
            </w:tcBorders>
            <w:shd w:val="clear" w:color="auto" w:fill="auto"/>
          </w:tcPr>
          <w:p>
            <w:pPr>
              <w:ind w:firstLine="552" w:firstLineChars="250"/>
            </w:pPr>
            <w:r>
              <w:rPr>
                <w:rFonts w:hint="eastAsia" w:ascii="宋体" w:hAnsi="宋体" w:cs="宋体"/>
                <w:b/>
                <w:bCs/>
                <w:color w:val="000000"/>
                <w:kern w:val="0"/>
                <w:sz w:val="22"/>
                <w:szCs w:val="22"/>
              </w:rPr>
              <w:t>10.52</w:t>
            </w:r>
          </w:p>
        </w:tc>
        <w:tc>
          <w:tcPr>
            <w:tcW w:w="1856" w:type="dxa"/>
            <w:tcBorders>
              <w:top w:val="nil"/>
              <w:left w:val="nil"/>
              <w:bottom w:val="single" w:color="auto" w:sz="4" w:space="0"/>
              <w:right w:val="single" w:color="auto" w:sz="4" w:space="0"/>
            </w:tcBorders>
            <w:shd w:val="clear" w:color="auto" w:fill="auto"/>
          </w:tcPr>
          <w:p>
            <w:pPr>
              <w:ind w:firstLine="552" w:firstLineChars="250"/>
            </w:pPr>
            <w:r>
              <w:rPr>
                <w:rFonts w:hint="eastAsia" w:ascii="宋体" w:hAnsi="宋体" w:cs="宋体"/>
                <w:b/>
                <w:bCs/>
                <w:color w:val="000000"/>
                <w:kern w:val="0"/>
                <w:sz w:val="22"/>
                <w:szCs w:val="22"/>
              </w:rPr>
              <w:t>10.52</w:t>
            </w:r>
          </w:p>
        </w:tc>
        <w:tc>
          <w:tcPr>
            <w:tcW w:w="17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208</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05　</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05　</w:t>
            </w:r>
          </w:p>
        </w:tc>
        <w:tc>
          <w:tcPr>
            <w:tcW w:w="2604"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机关事业单位基本养老保险缴费支出</w:t>
            </w:r>
          </w:p>
        </w:tc>
        <w:tc>
          <w:tcPr>
            <w:tcW w:w="1855" w:type="dxa"/>
            <w:tcBorders>
              <w:top w:val="nil"/>
              <w:left w:val="nil"/>
              <w:bottom w:val="single" w:color="auto" w:sz="4" w:space="0"/>
              <w:right w:val="single" w:color="auto" w:sz="4" w:space="0"/>
            </w:tcBorders>
            <w:shd w:val="clear" w:color="auto" w:fill="auto"/>
          </w:tcPr>
          <w:p>
            <w:pPr>
              <w:ind w:firstLine="552" w:firstLineChars="250"/>
            </w:pPr>
            <w:r>
              <w:rPr>
                <w:rFonts w:hint="eastAsia" w:ascii="宋体" w:hAnsi="宋体" w:cs="宋体"/>
                <w:b/>
                <w:bCs/>
                <w:color w:val="000000"/>
                <w:kern w:val="0"/>
                <w:sz w:val="22"/>
                <w:szCs w:val="22"/>
              </w:rPr>
              <w:t>10.52</w:t>
            </w:r>
          </w:p>
        </w:tc>
        <w:tc>
          <w:tcPr>
            <w:tcW w:w="1856" w:type="dxa"/>
            <w:tcBorders>
              <w:top w:val="nil"/>
              <w:left w:val="nil"/>
              <w:bottom w:val="single" w:color="auto" w:sz="4" w:space="0"/>
              <w:right w:val="single" w:color="auto" w:sz="4" w:space="0"/>
            </w:tcBorders>
            <w:shd w:val="clear" w:color="auto" w:fill="auto"/>
          </w:tcPr>
          <w:p>
            <w:pPr>
              <w:ind w:firstLine="552" w:firstLineChars="250"/>
            </w:pPr>
            <w:r>
              <w:rPr>
                <w:rFonts w:hint="eastAsia" w:ascii="宋体" w:hAnsi="宋体" w:cs="宋体"/>
                <w:b/>
                <w:bCs/>
                <w:color w:val="000000"/>
                <w:kern w:val="0"/>
                <w:sz w:val="22"/>
                <w:szCs w:val="22"/>
              </w:rPr>
              <w:t>10.52</w:t>
            </w:r>
          </w:p>
        </w:tc>
        <w:tc>
          <w:tcPr>
            <w:tcW w:w="17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210</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2604"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医疗卫生与计划生育支出</w:t>
            </w:r>
          </w:p>
        </w:tc>
        <w:tc>
          <w:tcPr>
            <w:tcW w:w="185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125.65</w:t>
            </w:r>
          </w:p>
        </w:tc>
        <w:tc>
          <w:tcPr>
            <w:tcW w:w="18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97.69</w:t>
            </w:r>
          </w:p>
        </w:tc>
        <w:tc>
          <w:tcPr>
            <w:tcW w:w="17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659"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210</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03　</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2604"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基层医疗卫生机构</w:t>
            </w:r>
          </w:p>
        </w:tc>
        <w:tc>
          <w:tcPr>
            <w:tcW w:w="1855" w:type="dxa"/>
            <w:tcBorders>
              <w:top w:val="nil"/>
              <w:left w:val="nil"/>
              <w:bottom w:val="single" w:color="auto" w:sz="4" w:space="0"/>
              <w:right w:val="single" w:color="auto" w:sz="4" w:space="0"/>
            </w:tcBorders>
            <w:shd w:val="clear" w:color="auto" w:fill="auto"/>
          </w:tcPr>
          <w:p>
            <w:pPr>
              <w:ind w:firstLine="442" w:firstLineChars="200"/>
            </w:pPr>
            <w:r>
              <w:rPr>
                <w:rFonts w:hint="eastAsia" w:ascii="宋体" w:hAnsi="宋体" w:cs="宋体"/>
                <w:b/>
                <w:bCs/>
                <w:color w:val="000000"/>
                <w:kern w:val="0"/>
                <w:sz w:val="22"/>
                <w:szCs w:val="22"/>
              </w:rPr>
              <w:t>125.65</w:t>
            </w:r>
          </w:p>
        </w:tc>
        <w:tc>
          <w:tcPr>
            <w:tcW w:w="1856" w:type="dxa"/>
            <w:tcBorders>
              <w:top w:val="nil"/>
              <w:left w:val="nil"/>
              <w:bottom w:val="single" w:color="auto" w:sz="4" w:space="0"/>
              <w:right w:val="single" w:color="auto" w:sz="4" w:space="0"/>
            </w:tcBorders>
            <w:shd w:val="clear" w:color="auto" w:fill="auto"/>
          </w:tcPr>
          <w:p>
            <w:pPr>
              <w:ind w:firstLine="552" w:firstLineChars="250"/>
              <w:jc w:val="left"/>
            </w:pPr>
            <w:r>
              <w:rPr>
                <w:rFonts w:hint="eastAsia" w:ascii="宋体" w:hAnsi="宋体" w:cs="宋体"/>
                <w:b/>
                <w:bCs/>
                <w:color w:val="000000"/>
                <w:kern w:val="0"/>
                <w:sz w:val="22"/>
                <w:szCs w:val="22"/>
              </w:rPr>
              <w:t>97.69</w:t>
            </w:r>
          </w:p>
        </w:tc>
        <w:tc>
          <w:tcPr>
            <w:tcW w:w="1713" w:type="dxa"/>
            <w:tcBorders>
              <w:top w:val="nil"/>
              <w:left w:val="nil"/>
              <w:bottom w:val="single" w:color="auto" w:sz="4" w:space="0"/>
              <w:right w:val="single" w:color="auto" w:sz="4" w:space="0"/>
            </w:tcBorders>
            <w:shd w:val="clear" w:color="auto" w:fill="auto"/>
          </w:tcPr>
          <w:p>
            <w:pPr>
              <w:ind w:firstLine="442" w:firstLineChars="200"/>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210　</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03　</w:t>
            </w: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02　</w:t>
            </w:r>
          </w:p>
        </w:tc>
        <w:tc>
          <w:tcPr>
            <w:tcW w:w="26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乡镇卫生院</w:t>
            </w:r>
          </w:p>
        </w:tc>
        <w:tc>
          <w:tcPr>
            <w:tcW w:w="1855" w:type="dxa"/>
            <w:tcBorders>
              <w:top w:val="nil"/>
              <w:left w:val="nil"/>
              <w:bottom w:val="single" w:color="auto" w:sz="4" w:space="0"/>
              <w:right w:val="single" w:color="auto" w:sz="4" w:space="0"/>
            </w:tcBorders>
            <w:shd w:val="clear" w:color="auto" w:fill="auto"/>
          </w:tcPr>
          <w:p>
            <w:pPr>
              <w:ind w:firstLine="442" w:firstLineChars="200"/>
            </w:pPr>
            <w:r>
              <w:rPr>
                <w:rFonts w:hint="eastAsia" w:ascii="宋体" w:hAnsi="宋体" w:cs="宋体"/>
                <w:b/>
                <w:bCs/>
                <w:color w:val="000000"/>
                <w:kern w:val="0"/>
                <w:sz w:val="22"/>
                <w:szCs w:val="22"/>
              </w:rPr>
              <w:t>125.65</w:t>
            </w:r>
          </w:p>
        </w:tc>
        <w:tc>
          <w:tcPr>
            <w:tcW w:w="1856" w:type="dxa"/>
            <w:tcBorders>
              <w:top w:val="nil"/>
              <w:left w:val="nil"/>
              <w:bottom w:val="single" w:color="auto" w:sz="4" w:space="0"/>
              <w:right w:val="single" w:color="auto" w:sz="4" w:space="0"/>
            </w:tcBorders>
            <w:shd w:val="clear" w:color="auto" w:fill="auto"/>
          </w:tcPr>
          <w:p>
            <w:pPr>
              <w:ind w:firstLine="552" w:firstLineChars="250"/>
            </w:pPr>
            <w:r>
              <w:rPr>
                <w:rFonts w:hint="eastAsia" w:ascii="宋体" w:hAnsi="宋体" w:cs="宋体"/>
                <w:b/>
                <w:bCs/>
                <w:color w:val="000000"/>
                <w:kern w:val="0"/>
                <w:sz w:val="22"/>
                <w:szCs w:val="22"/>
              </w:rPr>
              <w:t>97.69</w:t>
            </w:r>
          </w:p>
        </w:tc>
        <w:tc>
          <w:tcPr>
            <w:tcW w:w="1713" w:type="dxa"/>
            <w:tcBorders>
              <w:top w:val="nil"/>
              <w:left w:val="nil"/>
              <w:bottom w:val="single" w:color="auto" w:sz="4" w:space="0"/>
              <w:right w:val="single" w:color="auto" w:sz="4" w:space="0"/>
            </w:tcBorders>
            <w:shd w:val="clear" w:color="auto" w:fill="auto"/>
          </w:tcPr>
          <w:p>
            <w:pPr>
              <w:ind w:firstLine="442" w:firstLineChars="200"/>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26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185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18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17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r>
      <w:tr>
        <w:tblPrEx>
          <w:tblLayout w:type="fixed"/>
          <w:tblCellMar>
            <w:top w:w="0" w:type="dxa"/>
            <w:left w:w="108" w:type="dxa"/>
            <w:bottom w:w="0" w:type="dxa"/>
            <w:right w:w="108" w:type="dxa"/>
          </w:tblCellMar>
        </w:tblPrEx>
        <w:trPr>
          <w:trHeight w:val="405" w:hRule="atLeast"/>
        </w:trPr>
        <w:tc>
          <w:tcPr>
            <w:tcW w:w="67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4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4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26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合计</w:t>
            </w:r>
          </w:p>
        </w:tc>
        <w:tc>
          <w:tcPr>
            <w:tcW w:w="1855" w:type="dxa"/>
            <w:tcBorders>
              <w:top w:val="nil"/>
              <w:left w:val="nil"/>
              <w:bottom w:val="single" w:color="auto" w:sz="4" w:space="0"/>
              <w:right w:val="single" w:color="auto" w:sz="4" w:space="0"/>
            </w:tcBorders>
            <w:shd w:val="clear" w:color="auto" w:fill="auto"/>
            <w:vAlign w:val="center"/>
          </w:tcPr>
          <w:p>
            <w:pPr>
              <w:widowControl/>
              <w:ind w:firstLine="442" w:firstLineChars="200"/>
              <w:rPr>
                <w:rFonts w:ascii="宋体" w:hAnsi="宋体" w:cs="宋体"/>
                <w:b/>
                <w:bCs/>
                <w:color w:val="000000"/>
                <w:kern w:val="0"/>
                <w:sz w:val="22"/>
                <w:szCs w:val="22"/>
              </w:rPr>
            </w:pPr>
            <w:r>
              <w:rPr>
                <w:rFonts w:hint="eastAsia" w:ascii="宋体" w:hAnsi="宋体" w:cs="宋体"/>
                <w:b/>
                <w:bCs/>
                <w:color w:val="000000"/>
                <w:kern w:val="0"/>
                <w:sz w:val="22"/>
                <w:szCs w:val="22"/>
              </w:rPr>
              <w:t>136.17　</w:t>
            </w:r>
          </w:p>
        </w:tc>
        <w:tc>
          <w:tcPr>
            <w:tcW w:w="18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108.21</w:t>
            </w:r>
          </w:p>
        </w:tc>
        <w:tc>
          <w:tcPr>
            <w:tcW w:w="17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bl>
    <w:p>
      <w:pPr>
        <w:widowControl/>
        <w:outlineLvl w:val="1"/>
        <w:rPr>
          <w:rFonts w:ascii="仿宋_GB2312" w:hAnsi="宋体" w:eastAsia="仿宋_GB2312"/>
          <w:b/>
          <w:kern w:val="0"/>
          <w:sz w:val="28"/>
          <w:szCs w:val="32"/>
        </w:rPr>
      </w:pPr>
      <w:r>
        <w:rPr>
          <w:rFonts w:hint="eastAsia" w:ascii="仿宋_GB2312" w:hAnsi="宋体" w:eastAsia="仿宋_GB2312"/>
          <w:b/>
          <w:kern w:val="0"/>
          <w:sz w:val="28"/>
          <w:szCs w:val="32"/>
        </w:rPr>
        <w:t>备注：无内容应公开空表并说明情况。</w:t>
      </w:r>
    </w:p>
    <w:tbl>
      <w:tblPr>
        <w:tblStyle w:val="7"/>
        <w:tblW w:w="8095" w:type="dxa"/>
        <w:tblInd w:w="0" w:type="dxa"/>
        <w:tblLayout w:type="fixed"/>
        <w:tblCellMar>
          <w:top w:w="0" w:type="dxa"/>
          <w:left w:w="0" w:type="dxa"/>
          <w:bottom w:w="0" w:type="dxa"/>
          <w:right w:w="0" w:type="dxa"/>
        </w:tblCellMar>
      </w:tblPr>
      <w:tblGrid>
        <w:gridCol w:w="1731"/>
        <w:gridCol w:w="751"/>
        <w:gridCol w:w="2673"/>
        <w:gridCol w:w="765"/>
        <w:gridCol w:w="765"/>
        <w:gridCol w:w="1410"/>
      </w:tblGrid>
      <w:tr>
        <w:tblPrEx>
          <w:tblLayout w:type="fixed"/>
          <w:tblCellMar>
            <w:top w:w="0" w:type="dxa"/>
            <w:left w:w="0" w:type="dxa"/>
            <w:bottom w:w="0" w:type="dxa"/>
            <w:right w:w="0" w:type="dxa"/>
          </w:tblCellMar>
        </w:tblPrEx>
        <w:trPr>
          <w:trHeight w:val="435" w:hRule="atLeast"/>
        </w:trPr>
        <w:tc>
          <w:tcPr>
            <w:tcW w:w="8095" w:type="dxa"/>
            <w:gridSpan w:val="6"/>
            <w:vMerge w:val="restart"/>
            <w:tcBorders>
              <w:top w:val="nil"/>
              <w:left w:val="nil"/>
              <w:bottom w:val="nil"/>
              <w:right w:val="nil"/>
            </w:tcBorders>
            <w:shd w:val="clear" w:color="auto" w:fill="FFFFFF"/>
            <w:tcMar>
              <w:top w:w="15" w:type="dxa"/>
              <w:left w:w="15" w:type="dxa"/>
              <w:right w:w="15" w:type="dxa"/>
            </w:tcMar>
            <w:vAlign w:val="center"/>
          </w:tcPr>
          <w:p>
            <w:pPr>
              <w:widowControl/>
              <w:textAlignment w:val="center"/>
              <w:rPr>
                <w:rFonts w:hint="eastAsia" w:ascii="Default" w:hAnsi="Default" w:cs="Default" w:eastAsiaTheme="minorEastAsia"/>
                <w:b/>
                <w:color w:val="000000"/>
                <w:kern w:val="0"/>
                <w:sz w:val="28"/>
                <w:szCs w:val="28"/>
              </w:rPr>
            </w:pPr>
            <w:r>
              <w:rPr>
                <w:rFonts w:hint="eastAsia" w:ascii="Default" w:hAnsi="Default" w:cs="Default" w:eastAsiaTheme="minorEastAsia"/>
                <w:b/>
                <w:color w:val="000000"/>
                <w:kern w:val="0"/>
                <w:sz w:val="28"/>
                <w:szCs w:val="28"/>
              </w:rPr>
              <w:t>表四：</w:t>
            </w:r>
          </w:p>
          <w:p>
            <w:pPr>
              <w:widowControl/>
              <w:jc w:val="center"/>
              <w:textAlignment w:val="center"/>
              <w:rPr>
                <w:rFonts w:ascii="Default" w:hAnsi="Default" w:eastAsia="Default" w:cs="Default"/>
                <w:b/>
                <w:color w:val="000000"/>
                <w:sz w:val="28"/>
                <w:szCs w:val="28"/>
              </w:rPr>
            </w:pPr>
            <w:r>
              <w:rPr>
                <w:rFonts w:ascii="Default" w:hAnsi="Default" w:eastAsia="Default" w:cs="Default"/>
                <w:b/>
                <w:color w:val="000000"/>
                <w:kern w:val="0"/>
                <w:sz w:val="28"/>
                <w:szCs w:val="28"/>
              </w:rPr>
              <w:t>财政拨款收支预算总体情况表</w:t>
            </w:r>
          </w:p>
        </w:tc>
      </w:tr>
      <w:tr>
        <w:tblPrEx>
          <w:tblLayout w:type="fixed"/>
          <w:tblCellMar>
            <w:top w:w="0" w:type="dxa"/>
            <w:left w:w="0" w:type="dxa"/>
            <w:bottom w:w="0" w:type="dxa"/>
            <w:right w:w="0" w:type="dxa"/>
          </w:tblCellMar>
        </w:tblPrEx>
        <w:trPr>
          <w:trHeight w:val="435" w:hRule="atLeast"/>
        </w:trPr>
        <w:tc>
          <w:tcPr>
            <w:tcW w:w="8095" w:type="dxa"/>
            <w:gridSpan w:val="6"/>
            <w:vMerge w:val="continue"/>
            <w:tcBorders>
              <w:top w:val="nil"/>
              <w:left w:val="nil"/>
              <w:bottom w:val="nil"/>
              <w:right w:val="nil"/>
            </w:tcBorders>
            <w:shd w:val="clear" w:color="auto" w:fill="FFFFFF"/>
            <w:tcMar>
              <w:top w:w="15" w:type="dxa"/>
              <w:left w:w="15" w:type="dxa"/>
              <w:right w:w="15" w:type="dxa"/>
            </w:tcMar>
            <w:vAlign w:val="center"/>
          </w:tcPr>
          <w:p>
            <w:pPr>
              <w:jc w:val="center"/>
              <w:rPr>
                <w:rFonts w:ascii="Default" w:hAnsi="Default" w:eastAsia="Default" w:cs="Default"/>
                <w:b/>
                <w:color w:val="000000"/>
                <w:sz w:val="28"/>
                <w:szCs w:val="28"/>
              </w:rPr>
            </w:pPr>
          </w:p>
        </w:tc>
      </w:tr>
      <w:tr>
        <w:tblPrEx>
          <w:tblLayout w:type="fixed"/>
          <w:tblCellMar>
            <w:top w:w="0" w:type="dxa"/>
            <w:left w:w="0" w:type="dxa"/>
            <w:bottom w:w="0" w:type="dxa"/>
            <w:right w:w="0" w:type="dxa"/>
          </w:tblCellMar>
        </w:tblPrEx>
        <w:trPr>
          <w:trHeight w:val="435" w:hRule="atLeast"/>
        </w:trPr>
        <w:tc>
          <w:tcPr>
            <w:tcW w:w="5155" w:type="dxa"/>
            <w:gridSpan w:val="3"/>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填报部门:青格达湖卫生院</w:t>
            </w:r>
          </w:p>
        </w:tc>
        <w:tc>
          <w:tcPr>
            <w:tcW w:w="765"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2175" w:type="dxa"/>
            <w:gridSpan w:val="2"/>
            <w:tcBorders>
              <w:top w:val="nil"/>
              <w:left w:val="nil"/>
              <w:bottom w:val="nil"/>
              <w:right w:val="nil"/>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单位：万元   </w:t>
            </w:r>
          </w:p>
        </w:tc>
      </w:tr>
      <w:tr>
        <w:tblPrEx>
          <w:tblLayout w:type="fixed"/>
          <w:tblCellMar>
            <w:top w:w="0" w:type="dxa"/>
            <w:left w:w="0" w:type="dxa"/>
            <w:bottom w:w="0" w:type="dxa"/>
            <w:right w:w="0" w:type="dxa"/>
          </w:tblCellMar>
        </w:tblPrEx>
        <w:trPr>
          <w:trHeight w:val="435" w:hRule="atLeast"/>
        </w:trPr>
        <w:tc>
          <w:tcPr>
            <w:tcW w:w="24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财政拨款收入</w:t>
            </w:r>
          </w:p>
        </w:tc>
        <w:tc>
          <w:tcPr>
            <w:tcW w:w="5613"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财政拨款支出</w:t>
            </w:r>
          </w:p>
        </w:tc>
      </w:tr>
      <w:tr>
        <w:tblPrEx>
          <w:tblLayout w:type="fixed"/>
          <w:tblCellMar>
            <w:top w:w="0" w:type="dxa"/>
            <w:left w:w="0" w:type="dxa"/>
            <w:bottom w:w="0" w:type="dxa"/>
            <w:right w:w="0" w:type="dxa"/>
          </w:tblCellMar>
        </w:tblPrEx>
        <w:trPr>
          <w:trHeight w:val="54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项     目</w:t>
            </w: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合计</w:t>
            </w: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功能分类</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合计</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一般公共预算</w:t>
            </w:r>
          </w:p>
        </w:tc>
        <w:tc>
          <w:tcPr>
            <w:tcW w:w="1410"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政府基金预算</w:t>
            </w: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财政拨款（补助）</w:t>
            </w: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201 一般公共服务支出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一般公共预算</w:t>
            </w: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202 外交支出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政府性基金预算</w:t>
            </w: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203 国防支出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204 公共安全支出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205 教育支出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206 科学技术支出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207 文化旅游体育与传媒支出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208 社会保障和就业支出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10.52</w:t>
            </w: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209 社会保险基金支出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210 卫生健康支出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125.65</w:t>
            </w: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211 节能环保支出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212 城乡社区支出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213 农林水支出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214 交通运输支出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215 资源勘探信息等支出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216 商业服务业等支出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217 金融支出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219 援助其他地区支出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220 自然资源海洋气象等支出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221 住房保障支出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222 粮油物资储备支出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223 国有资本经营预算支出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224 灾害防治及应急管理支出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227 预备费</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229 其他支出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231 债务还本支出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232 债务付息支出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233 债务发行费用支出</w:t>
            </w: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auto"/>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小      计</w:t>
            </w:r>
          </w:p>
        </w:tc>
        <w:tc>
          <w:tcPr>
            <w:tcW w:w="75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267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小      计</w:t>
            </w:r>
          </w:p>
        </w:tc>
        <w:tc>
          <w:tcPr>
            <w:tcW w:w="765"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765"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230 转移性支出</w:t>
            </w:r>
          </w:p>
        </w:tc>
        <w:tc>
          <w:tcPr>
            <w:tcW w:w="76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收 入 总 计</w:t>
            </w:r>
          </w:p>
        </w:tc>
        <w:tc>
          <w:tcPr>
            <w:tcW w:w="75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267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支 出 总 计</w:t>
            </w:r>
          </w:p>
        </w:tc>
        <w:tc>
          <w:tcPr>
            <w:tcW w:w="765"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765"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136.17</w:t>
            </w: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390" w:hRule="atLeast"/>
        </w:trPr>
        <w:tc>
          <w:tcPr>
            <w:tcW w:w="1731"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5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267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6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41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bl>
    <w:p>
      <w:pPr>
        <w:widowControl/>
        <w:outlineLvl w:val="1"/>
        <w:rPr>
          <w:rFonts w:ascii="仿宋_GB2312" w:hAnsi="宋体" w:eastAsia="仿宋_GB2312"/>
          <w:b/>
          <w:kern w:val="0"/>
          <w:sz w:val="28"/>
          <w:szCs w:val="32"/>
        </w:rPr>
      </w:pPr>
      <w:r>
        <w:rPr>
          <w:rFonts w:hint="eastAsia" w:ascii="仿宋_GB2312" w:hAnsi="宋体" w:eastAsia="仿宋_GB2312"/>
          <w:b/>
          <w:kern w:val="0"/>
          <w:sz w:val="28"/>
          <w:szCs w:val="32"/>
        </w:rPr>
        <w:t>备注：无内容应公开空表并说明情况。</w:t>
      </w:r>
    </w:p>
    <w:p>
      <w:pPr>
        <w:widowControl/>
        <w:jc w:val="left"/>
        <w:outlineLvl w:val="1"/>
        <w:rPr>
          <w:rFonts w:ascii="仿宋_GB2312" w:hAnsi="宋体" w:eastAsia="仿宋_GB2312"/>
          <w:b/>
          <w:kern w:val="0"/>
          <w:sz w:val="32"/>
          <w:szCs w:val="32"/>
        </w:rPr>
      </w:pPr>
    </w:p>
    <w:p>
      <w:pPr>
        <w:widowControl/>
        <w:jc w:val="left"/>
        <w:outlineLvl w:val="1"/>
        <w:rPr>
          <w:rFonts w:ascii="仿宋_GB2312" w:hAnsi="宋体" w:eastAsia="仿宋_GB2312"/>
          <w:b/>
          <w:kern w:val="0"/>
          <w:sz w:val="32"/>
          <w:szCs w:val="32"/>
        </w:rPr>
      </w:pPr>
      <w:r>
        <w:rPr>
          <w:rFonts w:hint="eastAsia" w:ascii="仿宋_GB2312" w:hAnsi="宋体" w:eastAsia="仿宋_GB2312"/>
          <w:b/>
          <w:kern w:val="0"/>
          <w:sz w:val="32"/>
          <w:szCs w:val="32"/>
        </w:rPr>
        <w:t>表五：</w:t>
      </w:r>
    </w:p>
    <w:tbl>
      <w:tblPr>
        <w:tblStyle w:val="7"/>
        <w:tblW w:w="9087" w:type="dxa"/>
        <w:tblInd w:w="93" w:type="dxa"/>
        <w:tblLayout w:type="fixed"/>
        <w:tblCellMar>
          <w:top w:w="0" w:type="dxa"/>
          <w:left w:w="108" w:type="dxa"/>
          <w:bottom w:w="0" w:type="dxa"/>
          <w:right w:w="108" w:type="dxa"/>
        </w:tblCellMar>
      </w:tblPr>
      <w:tblGrid>
        <w:gridCol w:w="441"/>
        <w:gridCol w:w="492"/>
        <w:gridCol w:w="417"/>
        <w:gridCol w:w="2510"/>
        <w:gridCol w:w="660"/>
        <w:gridCol w:w="1024"/>
        <w:gridCol w:w="216"/>
        <w:gridCol w:w="1626"/>
        <w:gridCol w:w="1701"/>
      </w:tblGrid>
      <w:tr>
        <w:tblPrEx>
          <w:tblLayout w:type="fixed"/>
          <w:tblCellMar>
            <w:top w:w="0" w:type="dxa"/>
            <w:left w:w="108" w:type="dxa"/>
            <w:bottom w:w="0" w:type="dxa"/>
            <w:right w:w="108" w:type="dxa"/>
          </w:tblCellMar>
        </w:tblPrEx>
        <w:trPr>
          <w:trHeight w:val="450" w:hRule="atLeast"/>
        </w:trPr>
        <w:tc>
          <w:tcPr>
            <w:tcW w:w="9087" w:type="dxa"/>
            <w:gridSpan w:val="9"/>
            <w:tcBorders>
              <w:top w:val="nil"/>
              <w:left w:val="nil"/>
              <w:bottom w:val="nil"/>
              <w:right w:val="nil"/>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一般公共预算支出情况表</w:t>
            </w:r>
          </w:p>
        </w:tc>
      </w:tr>
      <w:tr>
        <w:tblPrEx>
          <w:tblLayout w:type="fixed"/>
          <w:tblCellMar>
            <w:top w:w="0" w:type="dxa"/>
            <w:left w:w="108" w:type="dxa"/>
            <w:bottom w:w="0" w:type="dxa"/>
            <w:right w:w="108" w:type="dxa"/>
          </w:tblCellMar>
        </w:tblPrEx>
        <w:trPr>
          <w:trHeight w:val="285" w:hRule="atLeast"/>
        </w:trPr>
        <w:tc>
          <w:tcPr>
            <w:tcW w:w="3860" w:type="dxa"/>
            <w:gridSpan w:val="4"/>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编制部门：青格达湖卫生院</w:t>
            </w:r>
          </w:p>
        </w:tc>
        <w:tc>
          <w:tcPr>
            <w:tcW w:w="660" w:type="dxa"/>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p>
        </w:tc>
        <w:tc>
          <w:tcPr>
            <w:tcW w:w="1240" w:type="dxa"/>
            <w:gridSpan w:val="2"/>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p>
        </w:tc>
        <w:tc>
          <w:tcPr>
            <w:tcW w:w="3327" w:type="dxa"/>
            <w:gridSpan w:val="2"/>
            <w:tcBorders>
              <w:top w:val="nil"/>
              <w:left w:val="nil"/>
              <w:bottom w:val="nil"/>
              <w:right w:val="nil"/>
            </w:tcBorders>
            <w:shd w:val="clear" w:color="auto" w:fill="auto"/>
            <w:noWrap/>
            <w:vAlign w:val="center"/>
          </w:tcPr>
          <w:p>
            <w:pPr>
              <w:widowControl/>
              <w:jc w:val="right"/>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单位：万元</w:t>
            </w:r>
          </w:p>
        </w:tc>
      </w:tr>
      <w:tr>
        <w:tblPrEx>
          <w:tblLayout w:type="fixed"/>
          <w:tblCellMar>
            <w:top w:w="0" w:type="dxa"/>
            <w:left w:w="108" w:type="dxa"/>
            <w:bottom w:w="0" w:type="dxa"/>
            <w:right w:w="108" w:type="dxa"/>
          </w:tblCellMar>
        </w:tblPrEx>
        <w:trPr>
          <w:trHeight w:val="405" w:hRule="atLeast"/>
        </w:trPr>
        <w:tc>
          <w:tcPr>
            <w:tcW w:w="386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项目</w:t>
            </w:r>
          </w:p>
        </w:tc>
        <w:tc>
          <w:tcPr>
            <w:tcW w:w="5227"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一般公共预算支出</w:t>
            </w:r>
          </w:p>
        </w:tc>
      </w:tr>
      <w:tr>
        <w:tblPrEx>
          <w:tblLayout w:type="fixed"/>
          <w:tblCellMar>
            <w:top w:w="0" w:type="dxa"/>
            <w:left w:w="108" w:type="dxa"/>
            <w:bottom w:w="0" w:type="dxa"/>
            <w:right w:w="108" w:type="dxa"/>
          </w:tblCellMar>
        </w:tblPrEx>
        <w:trPr>
          <w:trHeight w:val="465" w:hRule="atLeast"/>
        </w:trPr>
        <w:tc>
          <w:tcPr>
            <w:tcW w:w="135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功能分类科目编码</w:t>
            </w:r>
          </w:p>
        </w:tc>
        <w:tc>
          <w:tcPr>
            <w:tcW w:w="251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功能分类科目名称</w:t>
            </w:r>
          </w:p>
        </w:tc>
        <w:tc>
          <w:tcPr>
            <w:tcW w:w="1684"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小计</w:t>
            </w:r>
          </w:p>
        </w:tc>
        <w:tc>
          <w:tcPr>
            <w:tcW w:w="1842"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基本支出</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项目支出</w:t>
            </w:r>
          </w:p>
        </w:tc>
      </w:tr>
      <w:tr>
        <w:tblPrEx>
          <w:tblLayout w:type="fixed"/>
          <w:tblCellMar>
            <w:top w:w="0" w:type="dxa"/>
            <w:left w:w="108" w:type="dxa"/>
            <w:bottom w:w="0" w:type="dxa"/>
            <w:right w:w="108" w:type="dxa"/>
          </w:tblCellMar>
        </w:tblPrEx>
        <w:trPr>
          <w:trHeight w:val="30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类</w:t>
            </w:r>
          </w:p>
        </w:tc>
        <w:tc>
          <w:tcPr>
            <w:tcW w:w="492"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款</w:t>
            </w:r>
          </w:p>
        </w:tc>
        <w:tc>
          <w:tcPr>
            <w:tcW w:w="41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项</w:t>
            </w:r>
          </w:p>
        </w:tc>
        <w:tc>
          <w:tcPr>
            <w:tcW w:w="251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0"/>
                <w:szCs w:val="20"/>
              </w:rPr>
            </w:pPr>
          </w:p>
        </w:tc>
        <w:tc>
          <w:tcPr>
            <w:tcW w:w="1684"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0"/>
                <w:szCs w:val="20"/>
              </w:rPr>
            </w:pPr>
          </w:p>
        </w:tc>
        <w:tc>
          <w:tcPr>
            <w:tcW w:w="1842"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0"/>
                <w:szCs w:val="20"/>
              </w:rPr>
            </w:pPr>
          </w:p>
        </w:tc>
        <w:tc>
          <w:tcPr>
            <w:tcW w:w="1701"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0"/>
                <w:szCs w:val="20"/>
              </w:rPr>
            </w:pPr>
          </w:p>
        </w:tc>
      </w:tr>
      <w:tr>
        <w:tblPrEx>
          <w:tblLayout w:type="fixed"/>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总计</w:t>
            </w:r>
          </w:p>
        </w:tc>
        <w:tc>
          <w:tcPr>
            <w:tcW w:w="4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25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p>
        </w:tc>
        <w:tc>
          <w:tcPr>
            <w:tcW w:w="168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136.17</w:t>
            </w:r>
          </w:p>
        </w:tc>
        <w:tc>
          <w:tcPr>
            <w:tcW w:w="184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108.21</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4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251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青格达湖卫生院</w:t>
            </w:r>
          </w:p>
        </w:tc>
        <w:tc>
          <w:tcPr>
            <w:tcW w:w="168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136.17</w:t>
            </w:r>
          </w:p>
        </w:tc>
        <w:tc>
          <w:tcPr>
            <w:tcW w:w="184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108.21</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208</w:t>
            </w:r>
          </w:p>
        </w:tc>
        <w:tc>
          <w:tcPr>
            <w:tcW w:w="4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c>
          <w:tcPr>
            <w:tcW w:w="2510"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社会保障和就业支出</w:t>
            </w:r>
          </w:p>
        </w:tc>
        <w:tc>
          <w:tcPr>
            <w:tcW w:w="1684" w:type="dxa"/>
            <w:gridSpan w:val="2"/>
            <w:tcBorders>
              <w:top w:val="nil"/>
              <w:left w:val="nil"/>
              <w:bottom w:val="single" w:color="auto" w:sz="4" w:space="0"/>
              <w:right w:val="single" w:color="auto" w:sz="4" w:space="0"/>
            </w:tcBorders>
            <w:shd w:val="clear" w:color="auto" w:fill="auto"/>
          </w:tcPr>
          <w:p>
            <w:pPr>
              <w:ind w:firstLine="331" w:firstLineChars="150"/>
            </w:pPr>
            <w:r>
              <w:rPr>
                <w:rFonts w:hint="eastAsia" w:ascii="宋体" w:hAnsi="宋体" w:cs="宋体"/>
                <w:b/>
                <w:bCs/>
                <w:color w:val="000000"/>
                <w:kern w:val="0"/>
                <w:sz w:val="22"/>
                <w:szCs w:val="22"/>
              </w:rPr>
              <w:t>10.52</w:t>
            </w:r>
          </w:p>
        </w:tc>
        <w:tc>
          <w:tcPr>
            <w:tcW w:w="1842" w:type="dxa"/>
            <w:gridSpan w:val="2"/>
            <w:tcBorders>
              <w:top w:val="nil"/>
              <w:left w:val="nil"/>
              <w:bottom w:val="single" w:color="auto" w:sz="4" w:space="0"/>
              <w:right w:val="single" w:color="auto" w:sz="4" w:space="0"/>
            </w:tcBorders>
            <w:shd w:val="clear" w:color="auto" w:fill="auto"/>
          </w:tcPr>
          <w:p>
            <w:pPr>
              <w:ind w:firstLine="442" w:firstLineChars="200"/>
            </w:pPr>
            <w:r>
              <w:rPr>
                <w:rFonts w:hint="eastAsia" w:ascii="宋体" w:hAnsi="宋体" w:cs="宋体"/>
                <w:b/>
                <w:bCs/>
                <w:color w:val="000000"/>
                <w:kern w:val="0"/>
                <w:sz w:val="22"/>
                <w:szCs w:val="22"/>
              </w:rPr>
              <w:t>10.52</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r>
      <w:tr>
        <w:tblPrEx>
          <w:tblLayout w:type="fixed"/>
          <w:tblCellMar>
            <w:top w:w="0" w:type="dxa"/>
            <w:left w:w="108" w:type="dxa"/>
            <w:bottom w:w="0" w:type="dxa"/>
            <w:right w:w="108" w:type="dxa"/>
          </w:tblCellMar>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208</w:t>
            </w:r>
          </w:p>
        </w:tc>
        <w:tc>
          <w:tcPr>
            <w:tcW w:w="4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05</w:t>
            </w:r>
          </w:p>
        </w:tc>
        <w:tc>
          <w:tcPr>
            <w:tcW w:w="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p>
        </w:tc>
        <w:tc>
          <w:tcPr>
            <w:tcW w:w="2510"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行政事业单位离退休</w:t>
            </w:r>
          </w:p>
        </w:tc>
        <w:tc>
          <w:tcPr>
            <w:tcW w:w="1684" w:type="dxa"/>
            <w:gridSpan w:val="2"/>
            <w:tcBorders>
              <w:top w:val="nil"/>
              <w:left w:val="nil"/>
              <w:bottom w:val="single" w:color="auto" w:sz="4" w:space="0"/>
              <w:right w:val="single" w:color="auto" w:sz="4" w:space="0"/>
            </w:tcBorders>
            <w:shd w:val="clear" w:color="auto" w:fill="auto"/>
          </w:tcPr>
          <w:p>
            <w:pPr>
              <w:ind w:firstLine="331" w:firstLineChars="150"/>
            </w:pPr>
            <w:r>
              <w:rPr>
                <w:rFonts w:hint="eastAsia" w:ascii="宋体" w:hAnsi="宋体" w:cs="宋体"/>
                <w:b/>
                <w:bCs/>
                <w:color w:val="000000"/>
                <w:kern w:val="0"/>
                <w:sz w:val="22"/>
                <w:szCs w:val="22"/>
              </w:rPr>
              <w:t>10.52</w:t>
            </w:r>
          </w:p>
        </w:tc>
        <w:tc>
          <w:tcPr>
            <w:tcW w:w="1842" w:type="dxa"/>
            <w:gridSpan w:val="2"/>
            <w:tcBorders>
              <w:top w:val="nil"/>
              <w:left w:val="nil"/>
              <w:bottom w:val="single" w:color="auto" w:sz="4" w:space="0"/>
              <w:right w:val="single" w:color="auto" w:sz="4" w:space="0"/>
            </w:tcBorders>
            <w:shd w:val="clear" w:color="auto" w:fill="auto"/>
          </w:tcPr>
          <w:p>
            <w:pPr>
              <w:ind w:firstLine="442" w:firstLineChars="200"/>
            </w:pPr>
            <w:r>
              <w:rPr>
                <w:rFonts w:hint="eastAsia" w:ascii="宋体" w:hAnsi="宋体" w:cs="宋体"/>
                <w:b/>
                <w:bCs/>
                <w:color w:val="000000"/>
                <w:kern w:val="0"/>
                <w:sz w:val="22"/>
                <w:szCs w:val="22"/>
              </w:rPr>
              <w:t>10.52</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r>
      <w:tr>
        <w:tblPrEx>
          <w:tblLayout w:type="fixed"/>
          <w:tblCellMar>
            <w:top w:w="0" w:type="dxa"/>
            <w:left w:w="108" w:type="dxa"/>
            <w:bottom w:w="0" w:type="dxa"/>
            <w:right w:w="108" w:type="dxa"/>
          </w:tblCellMar>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208</w:t>
            </w:r>
          </w:p>
        </w:tc>
        <w:tc>
          <w:tcPr>
            <w:tcW w:w="4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05</w:t>
            </w:r>
          </w:p>
        </w:tc>
        <w:tc>
          <w:tcPr>
            <w:tcW w:w="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05</w:t>
            </w:r>
          </w:p>
        </w:tc>
        <w:tc>
          <w:tcPr>
            <w:tcW w:w="2510"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机关事业单位基本养老保险缴费支出</w:t>
            </w:r>
          </w:p>
        </w:tc>
        <w:tc>
          <w:tcPr>
            <w:tcW w:w="1684" w:type="dxa"/>
            <w:gridSpan w:val="2"/>
            <w:tcBorders>
              <w:top w:val="nil"/>
              <w:left w:val="nil"/>
              <w:bottom w:val="single" w:color="auto" w:sz="4" w:space="0"/>
              <w:right w:val="single" w:color="auto" w:sz="4" w:space="0"/>
            </w:tcBorders>
            <w:shd w:val="clear" w:color="auto" w:fill="auto"/>
          </w:tcPr>
          <w:p>
            <w:pPr>
              <w:ind w:firstLine="331" w:firstLineChars="150"/>
            </w:pPr>
            <w:r>
              <w:rPr>
                <w:rFonts w:hint="eastAsia" w:ascii="宋体" w:hAnsi="宋体" w:cs="宋体"/>
                <w:b/>
                <w:bCs/>
                <w:color w:val="000000"/>
                <w:kern w:val="0"/>
                <w:sz w:val="22"/>
                <w:szCs w:val="22"/>
              </w:rPr>
              <w:t>10.52</w:t>
            </w:r>
          </w:p>
        </w:tc>
        <w:tc>
          <w:tcPr>
            <w:tcW w:w="1842" w:type="dxa"/>
            <w:gridSpan w:val="2"/>
            <w:tcBorders>
              <w:top w:val="nil"/>
              <w:left w:val="nil"/>
              <w:bottom w:val="single" w:color="auto" w:sz="4" w:space="0"/>
              <w:right w:val="single" w:color="auto" w:sz="4" w:space="0"/>
            </w:tcBorders>
            <w:shd w:val="clear" w:color="auto" w:fill="auto"/>
          </w:tcPr>
          <w:p>
            <w:pPr>
              <w:ind w:firstLine="442" w:firstLineChars="200"/>
            </w:pPr>
            <w:r>
              <w:rPr>
                <w:rFonts w:hint="eastAsia" w:ascii="宋体" w:hAnsi="宋体" w:cs="宋体"/>
                <w:b/>
                <w:bCs/>
                <w:color w:val="000000"/>
                <w:kern w:val="0"/>
                <w:sz w:val="22"/>
                <w:szCs w:val="22"/>
              </w:rPr>
              <w:t>10.52</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p>
        </w:tc>
      </w:tr>
      <w:tr>
        <w:tblPrEx>
          <w:tblLayout w:type="fixed"/>
          <w:tblCellMar>
            <w:top w:w="0" w:type="dxa"/>
            <w:left w:w="108" w:type="dxa"/>
            <w:bottom w:w="0" w:type="dxa"/>
            <w:right w:w="108" w:type="dxa"/>
          </w:tblCellMar>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210</w:t>
            </w:r>
          </w:p>
        </w:tc>
        <w:tc>
          <w:tcPr>
            <w:tcW w:w="4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p>
        </w:tc>
        <w:tc>
          <w:tcPr>
            <w:tcW w:w="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p>
        </w:tc>
        <w:tc>
          <w:tcPr>
            <w:tcW w:w="2510"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医疗卫生与计划生育支出</w:t>
            </w:r>
          </w:p>
        </w:tc>
        <w:tc>
          <w:tcPr>
            <w:tcW w:w="1684" w:type="dxa"/>
            <w:gridSpan w:val="2"/>
            <w:tcBorders>
              <w:top w:val="nil"/>
              <w:left w:val="nil"/>
              <w:bottom w:val="single" w:color="auto" w:sz="4" w:space="0"/>
              <w:right w:val="single" w:color="auto" w:sz="4" w:space="0"/>
            </w:tcBorders>
            <w:shd w:val="clear" w:color="auto" w:fill="auto"/>
          </w:tcPr>
          <w:p>
            <w:pPr>
              <w:widowControl/>
              <w:spacing w:beforeLines="100"/>
              <w:jc w:val="center"/>
              <w:rPr>
                <w:rFonts w:ascii="宋体" w:hAnsi="宋体" w:cs="宋体"/>
                <w:b/>
                <w:bCs/>
                <w:color w:val="000000"/>
                <w:kern w:val="0"/>
                <w:sz w:val="22"/>
                <w:szCs w:val="22"/>
              </w:rPr>
            </w:pPr>
            <w:r>
              <w:rPr>
                <w:rFonts w:hint="eastAsia" w:ascii="宋体" w:hAnsi="宋体" w:cs="宋体"/>
                <w:b/>
                <w:bCs/>
                <w:color w:val="000000"/>
                <w:kern w:val="0"/>
                <w:sz w:val="22"/>
                <w:szCs w:val="22"/>
              </w:rPr>
              <w:t>125.65</w:t>
            </w:r>
          </w:p>
        </w:tc>
        <w:tc>
          <w:tcPr>
            <w:tcW w:w="184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97.69</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r>
        <w:tblPrEx>
          <w:tblLayout w:type="fixed"/>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　210</w:t>
            </w:r>
          </w:p>
        </w:tc>
        <w:tc>
          <w:tcPr>
            <w:tcW w:w="4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03　</w:t>
            </w:r>
          </w:p>
        </w:tc>
        <w:tc>
          <w:tcPr>
            <w:tcW w:w="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　</w:t>
            </w:r>
          </w:p>
        </w:tc>
        <w:tc>
          <w:tcPr>
            <w:tcW w:w="2510" w:type="dxa"/>
            <w:tcBorders>
              <w:top w:val="nil"/>
              <w:left w:val="nil"/>
              <w:bottom w:val="single" w:color="auto" w:sz="4" w:space="0"/>
              <w:right w:val="single" w:color="auto" w:sz="4" w:space="0"/>
            </w:tcBorders>
            <w:shd w:val="clear" w:color="auto" w:fill="auto"/>
            <w:vAlign w:val="center"/>
          </w:tcPr>
          <w:p>
            <w:pPr>
              <w:rPr>
                <w:rFonts w:ascii="宋体" w:hAnsi="宋体" w:cs="宋体"/>
                <w:b/>
                <w:bCs/>
                <w:color w:val="000000"/>
                <w:kern w:val="0"/>
                <w:sz w:val="22"/>
                <w:szCs w:val="22"/>
              </w:rPr>
            </w:pPr>
            <w:r>
              <w:rPr>
                <w:rFonts w:hint="eastAsia" w:ascii="宋体" w:hAnsi="宋体" w:cs="宋体"/>
                <w:b/>
                <w:bCs/>
                <w:color w:val="000000"/>
                <w:kern w:val="0"/>
                <w:sz w:val="22"/>
                <w:szCs w:val="22"/>
              </w:rPr>
              <w:t>　基层医疗卫生机构</w:t>
            </w:r>
          </w:p>
        </w:tc>
        <w:tc>
          <w:tcPr>
            <w:tcW w:w="1684" w:type="dxa"/>
            <w:gridSpan w:val="2"/>
            <w:tcBorders>
              <w:top w:val="nil"/>
              <w:left w:val="nil"/>
              <w:bottom w:val="single" w:color="auto" w:sz="4" w:space="0"/>
              <w:right w:val="single" w:color="auto" w:sz="4" w:space="0"/>
            </w:tcBorders>
            <w:shd w:val="clear" w:color="auto" w:fill="auto"/>
          </w:tcPr>
          <w:p>
            <w:pPr>
              <w:widowControl/>
              <w:spacing w:beforeLines="100"/>
              <w:jc w:val="center"/>
              <w:rPr>
                <w:rFonts w:ascii="宋体" w:hAnsi="宋体" w:cs="宋体"/>
                <w:b/>
                <w:bCs/>
                <w:color w:val="000000"/>
                <w:kern w:val="0"/>
                <w:sz w:val="22"/>
                <w:szCs w:val="22"/>
              </w:rPr>
            </w:pPr>
            <w:r>
              <w:rPr>
                <w:rFonts w:hint="eastAsia" w:ascii="宋体" w:hAnsi="宋体" w:cs="宋体"/>
                <w:b/>
                <w:bCs/>
                <w:color w:val="000000"/>
                <w:kern w:val="0"/>
                <w:sz w:val="22"/>
                <w:szCs w:val="22"/>
              </w:rPr>
              <w:t>125.65</w:t>
            </w:r>
          </w:p>
        </w:tc>
        <w:tc>
          <w:tcPr>
            <w:tcW w:w="184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97.69</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　210</w:t>
            </w:r>
          </w:p>
        </w:tc>
        <w:tc>
          <w:tcPr>
            <w:tcW w:w="4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03　</w:t>
            </w:r>
          </w:p>
        </w:tc>
        <w:tc>
          <w:tcPr>
            <w:tcW w:w="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2"/>
                <w:szCs w:val="22"/>
              </w:rPr>
            </w:pPr>
            <w:r>
              <w:rPr>
                <w:rFonts w:hint="eastAsia" w:ascii="宋体" w:hAnsi="宋体" w:cs="宋体"/>
                <w:b/>
                <w:bCs/>
                <w:color w:val="000000"/>
                <w:kern w:val="0"/>
                <w:sz w:val="22"/>
                <w:szCs w:val="22"/>
              </w:rPr>
              <w:t>02　</w:t>
            </w:r>
          </w:p>
        </w:tc>
        <w:tc>
          <w:tcPr>
            <w:tcW w:w="25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　乡镇卫生院</w:t>
            </w:r>
          </w:p>
        </w:tc>
        <w:tc>
          <w:tcPr>
            <w:tcW w:w="1684" w:type="dxa"/>
            <w:gridSpan w:val="2"/>
            <w:tcBorders>
              <w:top w:val="nil"/>
              <w:left w:val="nil"/>
              <w:bottom w:val="single" w:color="auto" w:sz="4" w:space="0"/>
              <w:right w:val="single" w:color="auto" w:sz="4" w:space="0"/>
            </w:tcBorders>
            <w:shd w:val="clear" w:color="auto" w:fill="auto"/>
          </w:tcPr>
          <w:p>
            <w:pPr>
              <w:widowControl/>
              <w:spacing w:beforeLines="100"/>
              <w:jc w:val="center"/>
              <w:rPr>
                <w:rFonts w:ascii="宋体" w:hAnsi="宋体" w:cs="宋体"/>
                <w:b/>
                <w:bCs/>
                <w:color w:val="000000"/>
                <w:kern w:val="0"/>
                <w:sz w:val="22"/>
                <w:szCs w:val="22"/>
              </w:rPr>
            </w:pPr>
            <w:r>
              <w:rPr>
                <w:rFonts w:hint="eastAsia" w:ascii="宋体" w:hAnsi="宋体" w:cs="宋体"/>
                <w:b/>
                <w:bCs/>
                <w:color w:val="000000"/>
                <w:kern w:val="0"/>
                <w:sz w:val="22"/>
                <w:szCs w:val="22"/>
              </w:rPr>
              <w:t>125.65</w:t>
            </w:r>
          </w:p>
        </w:tc>
        <w:tc>
          <w:tcPr>
            <w:tcW w:w="184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97.69</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r>
        <w:tblPrEx>
          <w:tblLayout w:type="fixed"/>
          <w:tblCellMar>
            <w:top w:w="0" w:type="dxa"/>
            <w:left w:w="108" w:type="dxa"/>
            <w:bottom w:w="0" w:type="dxa"/>
            <w:right w:w="108" w:type="dxa"/>
          </w:tblCellMar>
        </w:tblPrEx>
        <w:trPr>
          <w:trHeight w:val="450" w:hRule="atLeast"/>
        </w:trPr>
        <w:tc>
          <w:tcPr>
            <w:tcW w:w="441"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p>
        </w:tc>
        <w:tc>
          <w:tcPr>
            <w:tcW w:w="49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p>
        </w:tc>
        <w:tc>
          <w:tcPr>
            <w:tcW w:w="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p>
        </w:tc>
        <w:tc>
          <w:tcPr>
            <w:tcW w:w="25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合计</w:t>
            </w:r>
          </w:p>
        </w:tc>
        <w:tc>
          <w:tcPr>
            <w:tcW w:w="168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136.17</w:t>
            </w:r>
          </w:p>
        </w:tc>
        <w:tc>
          <w:tcPr>
            <w:tcW w:w="1842"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108.21</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27.96</w:t>
            </w:r>
          </w:p>
        </w:tc>
      </w:tr>
    </w:tbl>
    <w:p>
      <w:pPr>
        <w:widowControl/>
        <w:outlineLvl w:val="1"/>
        <w:rPr>
          <w:rFonts w:ascii="仿宋_GB2312" w:hAnsi="宋体" w:eastAsia="仿宋_GB2312"/>
          <w:b/>
          <w:kern w:val="0"/>
          <w:sz w:val="28"/>
          <w:szCs w:val="32"/>
        </w:rPr>
      </w:pPr>
      <w:r>
        <w:rPr>
          <w:rFonts w:hint="eastAsia" w:ascii="仿宋_GB2312" w:hAnsi="宋体" w:eastAsia="仿宋_GB2312"/>
          <w:b/>
          <w:kern w:val="0"/>
          <w:sz w:val="28"/>
          <w:szCs w:val="32"/>
        </w:rPr>
        <w:t>备注：无内容应公开空表并说明情况。</w:t>
      </w:r>
    </w:p>
    <w:p>
      <w:pPr>
        <w:widowControl/>
        <w:jc w:val="left"/>
        <w:outlineLvl w:val="1"/>
        <w:rPr>
          <w:rFonts w:ascii="仿宋_GB2312" w:hAnsi="宋体" w:eastAsia="仿宋_GB2312"/>
          <w:b/>
          <w:kern w:val="0"/>
          <w:sz w:val="32"/>
          <w:szCs w:val="32"/>
        </w:rPr>
      </w:pPr>
      <w:r>
        <w:rPr>
          <w:rFonts w:hint="eastAsia" w:ascii="仿宋_GB2312" w:hAnsi="宋体" w:eastAsia="仿宋_GB2312"/>
          <w:b/>
          <w:kern w:val="0"/>
          <w:sz w:val="32"/>
          <w:szCs w:val="32"/>
        </w:rPr>
        <w:t>表六：</w:t>
      </w:r>
    </w:p>
    <w:tbl>
      <w:tblPr>
        <w:tblStyle w:val="7"/>
        <w:tblW w:w="9087" w:type="dxa"/>
        <w:tblInd w:w="93" w:type="dxa"/>
        <w:tblLayout w:type="fixed"/>
        <w:tblCellMar>
          <w:top w:w="0" w:type="dxa"/>
          <w:left w:w="108" w:type="dxa"/>
          <w:bottom w:w="0" w:type="dxa"/>
          <w:right w:w="108" w:type="dxa"/>
        </w:tblCellMar>
      </w:tblPr>
      <w:tblGrid>
        <w:gridCol w:w="516"/>
        <w:gridCol w:w="577"/>
        <w:gridCol w:w="2891"/>
        <w:gridCol w:w="995"/>
        <w:gridCol w:w="706"/>
        <w:gridCol w:w="976"/>
        <w:gridCol w:w="725"/>
        <w:gridCol w:w="1701"/>
      </w:tblGrid>
      <w:tr>
        <w:tblPrEx>
          <w:tblLayout w:type="fixed"/>
          <w:tblCellMar>
            <w:top w:w="0" w:type="dxa"/>
            <w:left w:w="108" w:type="dxa"/>
            <w:bottom w:w="0" w:type="dxa"/>
            <w:right w:w="108" w:type="dxa"/>
          </w:tblCellMar>
        </w:tblPrEx>
        <w:trPr>
          <w:trHeight w:val="375" w:hRule="atLeast"/>
        </w:trPr>
        <w:tc>
          <w:tcPr>
            <w:tcW w:w="9087" w:type="dxa"/>
            <w:gridSpan w:val="8"/>
            <w:tcBorders>
              <w:top w:val="nil"/>
              <w:left w:val="nil"/>
              <w:bottom w:val="nil"/>
              <w:right w:val="nil"/>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一般公共预算基本支出情况表</w:t>
            </w:r>
          </w:p>
        </w:tc>
      </w:tr>
      <w:tr>
        <w:tblPrEx>
          <w:tblLayout w:type="fixed"/>
          <w:tblCellMar>
            <w:top w:w="0" w:type="dxa"/>
            <w:left w:w="108" w:type="dxa"/>
            <w:bottom w:w="0" w:type="dxa"/>
            <w:right w:w="108" w:type="dxa"/>
          </w:tblCellMar>
        </w:tblPrEx>
        <w:trPr>
          <w:trHeight w:val="405" w:hRule="atLeast"/>
        </w:trPr>
        <w:tc>
          <w:tcPr>
            <w:tcW w:w="3984" w:type="dxa"/>
            <w:gridSpan w:val="3"/>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编制部门：青格达湖卫生院</w:t>
            </w:r>
          </w:p>
        </w:tc>
        <w:tc>
          <w:tcPr>
            <w:tcW w:w="995" w:type="dxa"/>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p>
        </w:tc>
        <w:tc>
          <w:tcPr>
            <w:tcW w:w="1682" w:type="dxa"/>
            <w:gridSpan w:val="2"/>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p>
        </w:tc>
        <w:tc>
          <w:tcPr>
            <w:tcW w:w="2426" w:type="dxa"/>
            <w:gridSpan w:val="2"/>
            <w:tcBorders>
              <w:top w:val="nil"/>
              <w:left w:val="nil"/>
              <w:bottom w:val="nil"/>
              <w:right w:val="nil"/>
            </w:tcBorders>
            <w:shd w:val="clear" w:color="auto" w:fill="auto"/>
            <w:noWrap/>
            <w:vAlign w:val="center"/>
          </w:tcPr>
          <w:p>
            <w:pPr>
              <w:widowControl/>
              <w:ind w:firstLine="720" w:firstLineChars="300"/>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单位：万元</w:t>
            </w:r>
          </w:p>
        </w:tc>
      </w:tr>
      <w:tr>
        <w:tblPrEx>
          <w:tblLayout w:type="fixed"/>
          <w:tblCellMar>
            <w:top w:w="0" w:type="dxa"/>
            <w:left w:w="108" w:type="dxa"/>
            <w:bottom w:w="0" w:type="dxa"/>
            <w:right w:w="108" w:type="dxa"/>
          </w:tblCellMar>
        </w:tblPrEx>
        <w:trPr>
          <w:trHeight w:val="390" w:hRule="atLeast"/>
        </w:trPr>
        <w:tc>
          <w:tcPr>
            <w:tcW w:w="3984"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项目</w:t>
            </w:r>
          </w:p>
        </w:tc>
        <w:tc>
          <w:tcPr>
            <w:tcW w:w="5103" w:type="dxa"/>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一般公共预算基本支出</w:t>
            </w:r>
          </w:p>
        </w:tc>
      </w:tr>
      <w:tr>
        <w:tblPrEx>
          <w:tblLayout w:type="fixed"/>
          <w:tblCellMar>
            <w:top w:w="0" w:type="dxa"/>
            <w:left w:w="108" w:type="dxa"/>
            <w:bottom w:w="0" w:type="dxa"/>
            <w:right w:w="108" w:type="dxa"/>
          </w:tblCellMar>
        </w:tblPrEx>
        <w:trPr>
          <w:trHeight w:val="495" w:hRule="atLeast"/>
        </w:trPr>
        <w:tc>
          <w:tcPr>
            <w:tcW w:w="1093" w:type="dxa"/>
            <w:gridSpan w:val="2"/>
            <w:tcBorders>
              <w:top w:val="single" w:color="auto" w:sz="4" w:space="0"/>
              <w:left w:val="single" w:color="auto" w:sz="4" w:space="0"/>
              <w:bottom w:val="single" w:color="auto" w:sz="4" w:space="0"/>
              <w:right w:val="nil"/>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经济分类科目编码</w:t>
            </w:r>
          </w:p>
        </w:tc>
        <w:tc>
          <w:tcPr>
            <w:tcW w:w="289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经济分类科目名称</w:t>
            </w:r>
          </w:p>
        </w:tc>
        <w:tc>
          <w:tcPr>
            <w:tcW w:w="170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小计</w:t>
            </w:r>
          </w:p>
        </w:tc>
        <w:tc>
          <w:tcPr>
            <w:tcW w:w="170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人员经费</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公用经费</w:t>
            </w:r>
          </w:p>
        </w:tc>
      </w:tr>
      <w:tr>
        <w:tblPrEx>
          <w:tblLayout w:type="fixed"/>
          <w:tblCellMar>
            <w:top w:w="0" w:type="dxa"/>
            <w:left w:w="108" w:type="dxa"/>
            <w:bottom w:w="0" w:type="dxa"/>
            <w:right w:w="108" w:type="dxa"/>
          </w:tblCellMar>
        </w:tblPrEx>
        <w:trPr>
          <w:trHeight w:val="270"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类</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款</w:t>
            </w:r>
          </w:p>
        </w:tc>
        <w:tc>
          <w:tcPr>
            <w:tcW w:w="2891"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0"/>
                <w:szCs w:val="20"/>
              </w:rPr>
            </w:pPr>
          </w:p>
        </w:tc>
        <w:tc>
          <w:tcPr>
            <w:tcW w:w="170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0"/>
              </w:rPr>
            </w:pPr>
          </w:p>
        </w:tc>
        <w:tc>
          <w:tcPr>
            <w:tcW w:w="170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0"/>
              </w:rPr>
            </w:pPr>
          </w:p>
        </w:tc>
        <w:tc>
          <w:tcPr>
            <w:tcW w:w="1701"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总计</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kern w:val="0"/>
                <w:sz w:val="20"/>
                <w:szCs w:val="20"/>
              </w:rPr>
            </w:pP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108.21</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102.18</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6.03</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hint="eastAsia" w:ascii="Default" w:hAnsi="Default" w:cs="Default" w:eastAsiaTheme="minorEastAsia"/>
                <w:color w:val="000000"/>
                <w:kern w:val="0"/>
                <w:sz w:val="20"/>
                <w:szCs w:val="20"/>
              </w:rPr>
            </w:pPr>
            <w:r>
              <w:rPr>
                <w:rFonts w:hint="eastAsia" w:ascii="Default" w:hAnsi="Default" w:cs="Default" w:eastAsiaTheme="minorEastAsia"/>
                <w:color w:val="000000"/>
                <w:kern w:val="0"/>
                <w:sz w:val="20"/>
                <w:szCs w:val="20"/>
              </w:rPr>
              <w:t>087001-青格达湖卫生院</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108.21</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102.18</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6.03</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工资福利支出</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102.18</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102.18</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01</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基本工资</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24.17</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24.17</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02</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津贴补贴</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7.55</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7.55</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03</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奖金</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14.40</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14.40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07</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绩效工资</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29.60</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29.60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08</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机关事业单位基本养老保险缴费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ind w:firstLine="100" w:firstLineChars="50"/>
              <w:rPr>
                <w:rFonts w:ascii="宋体" w:hAnsi="宋体" w:cs="宋体"/>
                <w:color w:val="000000"/>
                <w:kern w:val="0"/>
                <w:sz w:val="20"/>
                <w:szCs w:val="20"/>
              </w:rPr>
            </w:pPr>
            <w:r>
              <w:rPr>
                <w:rFonts w:hint="eastAsia" w:ascii="宋体" w:hAnsi="宋体" w:cs="宋体"/>
                <w:color w:val="000000"/>
                <w:kern w:val="0"/>
                <w:sz w:val="20"/>
                <w:szCs w:val="20"/>
              </w:rPr>
              <w:t xml:space="preserve">     10.52</w:t>
            </w:r>
          </w:p>
        </w:tc>
        <w:tc>
          <w:tcPr>
            <w:tcW w:w="1701" w:type="dxa"/>
            <w:gridSpan w:val="2"/>
            <w:tcBorders>
              <w:top w:val="nil"/>
              <w:left w:val="nil"/>
              <w:bottom w:val="single" w:color="auto" w:sz="4" w:space="0"/>
              <w:right w:val="single" w:color="auto" w:sz="4" w:space="0"/>
            </w:tcBorders>
            <w:shd w:val="clear" w:color="auto" w:fill="auto"/>
            <w:vAlign w:val="center"/>
          </w:tcPr>
          <w:p>
            <w:pPr>
              <w:widowControl/>
              <w:ind w:firstLine="100" w:firstLineChars="50"/>
              <w:rPr>
                <w:rFonts w:ascii="宋体" w:hAnsi="宋体" w:cs="宋体"/>
                <w:color w:val="000000"/>
                <w:kern w:val="0"/>
                <w:sz w:val="20"/>
                <w:szCs w:val="20"/>
              </w:rPr>
            </w:pPr>
            <w:r>
              <w:rPr>
                <w:rFonts w:hint="eastAsia" w:ascii="宋体" w:hAnsi="宋体" w:cs="宋体"/>
                <w:color w:val="000000"/>
                <w:kern w:val="0"/>
                <w:sz w:val="20"/>
                <w:szCs w:val="20"/>
              </w:rPr>
              <w:t xml:space="preserve">     10.52</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10</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职工基本医疗保险缴费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4.73</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4.73</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11</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公务员医疗补助缴费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1.05</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1.05</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12</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其他社会保障缴费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1.16</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1.16</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571"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仿宋_GB2312" w:hAnsi="宋体" w:eastAsia="仿宋_GB2312" w:cs="宋体"/>
                <w:color w:val="000000"/>
                <w:kern w:val="0"/>
                <w:sz w:val="20"/>
                <w:szCs w:val="20"/>
              </w:rPr>
              <w:t>301</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13</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住房公积金</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9.00</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9.00</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551" w:hRule="atLeast"/>
        </w:trPr>
        <w:tc>
          <w:tcPr>
            <w:tcW w:w="516"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302　</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商品和服务支出</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6.03</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6.03</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01</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办公费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0.37</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0.37</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05</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水费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0.23</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0.23</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06</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电费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0.47</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0.47</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07</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邮电费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0.27</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0.27</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08</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取暖费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1.19</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1.19</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11</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差旅费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0.58</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0.58</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13</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维修(护)费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 xml:space="preserve">      0.02</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 xml:space="preserve">      0.02</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16</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培训费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0.79</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0.79</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18</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专用材料费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0.04</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0.04</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28</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工会经费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0.62</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0.62</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29</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 xml:space="preserve">  福利费</w:t>
            </w:r>
          </w:p>
        </w:tc>
        <w:tc>
          <w:tcPr>
            <w:tcW w:w="1701" w:type="dxa"/>
            <w:gridSpan w:val="2"/>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 xml:space="preserve">      1.43</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 xml:space="preserve">      1.43</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r>
              <w:rPr>
                <w:rFonts w:hint="eastAsia" w:ascii="宋体" w:hAnsi="宋体" w:cs="宋体"/>
                <w:color w:val="000000"/>
                <w:kern w:val="0"/>
                <w:sz w:val="20"/>
                <w:szCs w:val="20"/>
              </w:rPr>
              <w:t>302</w:t>
            </w: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99</w:t>
            </w:r>
          </w:p>
        </w:tc>
        <w:tc>
          <w:tcPr>
            <w:tcW w:w="2891" w:type="dxa"/>
            <w:tcBorders>
              <w:top w:val="nil"/>
              <w:left w:val="nil"/>
              <w:bottom w:val="single" w:color="auto" w:sz="4" w:space="0"/>
              <w:right w:val="single" w:color="auto" w:sz="4" w:space="0"/>
            </w:tcBorders>
            <w:shd w:val="clear" w:color="auto" w:fill="auto"/>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其他商品和服务支出</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0.02</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0.02</w:t>
            </w:r>
          </w:p>
        </w:tc>
      </w:tr>
      <w:tr>
        <w:tblPrEx>
          <w:tblLayout w:type="fixed"/>
          <w:tblCellMar>
            <w:top w:w="0" w:type="dxa"/>
            <w:left w:w="108" w:type="dxa"/>
            <w:bottom w:w="0" w:type="dxa"/>
            <w:right w:w="108" w:type="dxa"/>
          </w:tblCellMar>
        </w:tblPrEx>
        <w:trPr>
          <w:trHeight w:val="402" w:hRule="atLeast"/>
        </w:trPr>
        <w:tc>
          <w:tcPr>
            <w:tcW w:w="516" w:type="dxa"/>
            <w:tcBorders>
              <w:top w:val="nil"/>
              <w:left w:val="single" w:color="auto" w:sz="4" w:space="0"/>
              <w:bottom w:val="single" w:color="auto" w:sz="4" w:space="0"/>
              <w:right w:val="single" w:color="auto" w:sz="4" w:space="0"/>
            </w:tcBorders>
            <w:shd w:val="clear" w:color="auto" w:fill="auto"/>
          </w:tcPr>
          <w:p/>
        </w:tc>
        <w:tc>
          <w:tcPr>
            <w:tcW w:w="5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c>
          <w:tcPr>
            <w:tcW w:w="289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b/>
                <w:bCs/>
                <w:color w:val="000000"/>
                <w:kern w:val="0"/>
                <w:sz w:val="20"/>
                <w:szCs w:val="20"/>
              </w:rPr>
              <w:t>合计</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108.21</w:t>
            </w:r>
          </w:p>
        </w:tc>
        <w:tc>
          <w:tcPr>
            <w:tcW w:w="170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102.18</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6.03</w:t>
            </w:r>
          </w:p>
        </w:tc>
      </w:tr>
    </w:tbl>
    <w:p>
      <w:pPr>
        <w:widowControl/>
        <w:outlineLvl w:val="1"/>
        <w:rPr>
          <w:rFonts w:ascii="仿宋_GB2312" w:hAnsi="宋体" w:eastAsia="仿宋_GB2312"/>
          <w:b/>
          <w:kern w:val="0"/>
          <w:sz w:val="28"/>
          <w:szCs w:val="32"/>
        </w:rPr>
      </w:pPr>
      <w:r>
        <w:rPr>
          <w:rFonts w:hint="eastAsia" w:ascii="仿宋_GB2312" w:hAnsi="宋体" w:eastAsia="仿宋_GB2312"/>
          <w:b/>
          <w:kern w:val="0"/>
          <w:sz w:val="28"/>
          <w:szCs w:val="32"/>
        </w:rPr>
        <w:t>备注：无内容应公开空表并说明情况。</w:t>
      </w:r>
    </w:p>
    <w:p>
      <w:pPr>
        <w:widowControl/>
        <w:jc w:val="left"/>
        <w:outlineLvl w:val="1"/>
        <w:rPr>
          <w:rFonts w:ascii="仿宋_GB2312" w:hAnsi="宋体" w:eastAsia="仿宋_GB2312"/>
          <w:b/>
          <w:kern w:val="0"/>
          <w:sz w:val="32"/>
          <w:szCs w:val="32"/>
        </w:rPr>
      </w:pPr>
      <w:r>
        <w:rPr>
          <w:rFonts w:hint="eastAsia" w:ascii="仿宋_GB2312" w:hAnsi="宋体" w:eastAsia="仿宋_GB2312"/>
          <w:b/>
          <w:kern w:val="0"/>
          <w:sz w:val="32"/>
          <w:szCs w:val="32"/>
        </w:rPr>
        <w:t>表七：</w:t>
      </w:r>
    </w:p>
    <w:tbl>
      <w:tblPr>
        <w:tblStyle w:val="7"/>
        <w:tblW w:w="9469" w:type="dxa"/>
        <w:tblInd w:w="93" w:type="dxa"/>
        <w:tblLayout w:type="fixed"/>
        <w:tblCellMar>
          <w:top w:w="0" w:type="dxa"/>
          <w:left w:w="108" w:type="dxa"/>
          <w:bottom w:w="0" w:type="dxa"/>
          <w:right w:w="108" w:type="dxa"/>
        </w:tblCellMar>
      </w:tblPr>
      <w:tblGrid>
        <w:gridCol w:w="8"/>
        <w:gridCol w:w="550"/>
        <w:gridCol w:w="308"/>
        <w:gridCol w:w="325"/>
        <w:gridCol w:w="667"/>
        <w:gridCol w:w="1640"/>
        <w:gridCol w:w="860"/>
        <w:gridCol w:w="52"/>
        <w:gridCol w:w="425"/>
        <w:gridCol w:w="567"/>
        <w:gridCol w:w="142"/>
        <w:gridCol w:w="850"/>
        <w:gridCol w:w="263"/>
        <w:gridCol w:w="378"/>
        <w:gridCol w:w="200"/>
        <w:gridCol w:w="419"/>
        <w:gridCol w:w="578"/>
        <w:gridCol w:w="420"/>
        <w:gridCol w:w="420"/>
        <w:gridCol w:w="389"/>
        <w:gridCol w:w="8"/>
      </w:tblGrid>
      <w:tr>
        <w:tblPrEx>
          <w:tblLayout w:type="fixed"/>
          <w:tblCellMar>
            <w:top w:w="0" w:type="dxa"/>
            <w:left w:w="108" w:type="dxa"/>
            <w:bottom w:w="0" w:type="dxa"/>
            <w:right w:w="108" w:type="dxa"/>
          </w:tblCellMar>
        </w:tblPrEx>
        <w:trPr>
          <w:gridBefore w:val="1"/>
          <w:gridAfter w:val="1"/>
          <w:wBefore w:w="8" w:type="dxa"/>
          <w:wAfter w:w="8" w:type="dxa"/>
          <w:trHeight w:val="375" w:hRule="atLeast"/>
        </w:trPr>
        <w:tc>
          <w:tcPr>
            <w:tcW w:w="9453" w:type="dxa"/>
            <w:gridSpan w:val="19"/>
            <w:tcBorders>
              <w:top w:val="nil"/>
              <w:left w:val="nil"/>
              <w:bottom w:val="nil"/>
              <w:right w:val="nil"/>
            </w:tcBorders>
            <w:shd w:val="clear" w:color="auto" w:fill="auto"/>
            <w:noWrap/>
            <w:vAlign w:val="center"/>
          </w:tcPr>
          <w:p>
            <w:pPr>
              <w:widowControl/>
              <w:ind w:firstLine="3213" w:firstLineChars="1000"/>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项目支出情况表</w:t>
            </w:r>
          </w:p>
        </w:tc>
      </w:tr>
      <w:tr>
        <w:tblPrEx>
          <w:tblLayout w:type="fixed"/>
          <w:tblCellMar>
            <w:top w:w="0" w:type="dxa"/>
            <w:left w:w="108" w:type="dxa"/>
            <w:bottom w:w="0" w:type="dxa"/>
            <w:right w:w="108" w:type="dxa"/>
          </w:tblCellMar>
        </w:tblPrEx>
        <w:trPr>
          <w:gridBefore w:val="1"/>
          <w:gridAfter w:val="1"/>
          <w:wBefore w:w="8" w:type="dxa"/>
          <w:wAfter w:w="8" w:type="dxa"/>
          <w:trHeight w:val="405" w:hRule="atLeast"/>
        </w:trPr>
        <w:tc>
          <w:tcPr>
            <w:tcW w:w="4350" w:type="dxa"/>
            <w:gridSpan w:val="6"/>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编制部门：青格达湖卫生院</w:t>
            </w:r>
          </w:p>
        </w:tc>
        <w:tc>
          <w:tcPr>
            <w:tcW w:w="1044" w:type="dxa"/>
            <w:gridSpan w:val="3"/>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p>
        </w:tc>
        <w:tc>
          <w:tcPr>
            <w:tcW w:w="1633" w:type="dxa"/>
            <w:gridSpan w:val="4"/>
            <w:tcBorders>
              <w:top w:val="nil"/>
              <w:left w:val="nil"/>
              <w:bottom w:val="nil"/>
              <w:right w:val="nil"/>
            </w:tcBorders>
            <w:shd w:val="clear" w:color="auto" w:fill="auto"/>
            <w:noWrap/>
            <w:vAlign w:val="center"/>
          </w:tcPr>
          <w:p>
            <w:pPr>
              <w:widowControl/>
              <w:jc w:val="left"/>
              <w:rPr>
                <w:rFonts w:ascii="仿宋_GB2312" w:hAnsi="宋体" w:eastAsia="仿宋_GB2312" w:cs="宋体"/>
                <w:color w:val="000000"/>
                <w:kern w:val="0"/>
                <w:sz w:val="24"/>
              </w:rPr>
            </w:pPr>
          </w:p>
        </w:tc>
        <w:tc>
          <w:tcPr>
            <w:tcW w:w="2426" w:type="dxa"/>
            <w:gridSpan w:val="6"/>
            <w:tcBorders>
              <w:top w:val="nil"/>
              <w:left w:val="nil"/>
              <w:bottom w:val="nil"/>
              <w:right w:val="nil"/>
            </w:tcBorders>
            <w:shd w:val="clear" w:color="auto" w:fill="auto"/>
            <w:noWrap/>
            <w:vAlign w:val="center"/>
          </w:tcPr>
          <w:p>
            <w:pPr>
              <w:widowControl/>
              <w:ind w:firstLine="960" w:firstLineChars="400"/>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trPr>
        <w:tc>
          <w:tcPr>
            <w:tcW w:w="1191" w:type="dxa"/>
            <w:gridSpan w:val="4"/>
            <w:shd w:val="clear" w:color="auto" w:fill="auto"/>
            <w:noWrap/>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科 目 编 码</w:t>
            </w:r>
          </w:p>
        </w:tc>
        <w:tc>
          <w:tcPr>
            <w:tcW w:w="667" w:type="dxa"/>
            <w:vMerge w:val="restart"/>
            <w:shd w:val="clear" w:color="auto" w:fill="auto"/>
            <w:noWrap/>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科目</w:t>
            </w:r>
          </w:p>
        </w:tc>
        <w:tc>
          <w:tcPr>
            <w:tcW w:w="1640" w:type="dxa"/>
            <w:vMerge w:val="restart"/>
            <w:shd w:val="clear" w:color="auto" w:fill="auto"/>
            <w:noWrap/>
            <w:vAlign w:val="center"/>
          </w:tcPr>
          <w:p>
            <w:pPr>
              <w:jc w:val="center"/>
              <w:rPr>
                <w:rFonts w:ascii="Calibri" w:hAnsi="Calibri"/>
                <w:sz w:val="24"/>
              </w:rPr>
            </w:pPr>
            <w:r>
              <w:rPr>
                <w:rFonts w:hint="eastAsia" w:ascii="仿宋_GB2312" w:hAnsi="宋体" w:eastAsia="仿宋_GB2312"/>
                <w:b/>
                <w:kern w:val="0"/>
                <w:sz w:val="24"/>
              </w:rPr>
              <w:t>项目名称</w:t>
            </w:r>
          </w:p>
        </w:tc>
        <w:tc>
          <w:tcPr>
            <w:tcW w:w="912" w:type="dxa"/>
            <w:gridSpan w:val="2"/>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项目支出合计</w:t>
            </w:r>
          </w:p>
        </w:tc>
        <w:tc>
          <w:tcPr>
            <w:tcW w:w="425" w:type="dxa"/>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工资福利支出</w:t>
            </w:r>
          </w:p>
        </w:tc>
        <w:tc>
          <w:tcPr>
            <w:tcW w:w="709" w:type="dxa"/>
            <w:gridSpan w:val="2"/>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商品和服务支出</w:t>
            </w:r>
          </w:p>
        </w:tc>
        <w:tc>
          <w:tcPr>
            <w:tcW w:w="850" w:type="dxa"/>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对个人和家庭的补助</w:t>
            </w:r>
          </w:p>
        </w:tc>
        <w:tc>
          <w:tcPr>
            <w:tcW w:w="263" w:type="dxa"/>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债务利息及费用支出</w:t>
            </w:r>
          </w:p>
        </w:tc>
        <w:tc>
          <w:tcPr>
            <w:tcW w:w="578" w:type="dxa"/>
            <w:gridSpan w:val="2"/>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资本性支出（基本建设）</w:t>
            </w:r>
          </w:p>
        </w:tc>
        <w:tc>
          <w:tcPr>
            <w:tcW w:w="419" w:type="dxa"/>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资本性支出</w:t>
            </w:r>
          </w:p>
        </w:tc>
        <w:tc>
          <w:tcPr>
            <w:tcW w:w="578" w:type="dxa"/>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对企业补助（基本建设）</w:t>
            </w:r>
          </w:p>
        </w:tc>
        <w:tc>
          <w:tcPr>
            <w:tcW w:w="420" w:type="dxa"/>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对企业补助</w:t>
            </w:r>
          </w:p>
        </w:tc>
        <w:tc>
          <w:tcPr>
            <w:tcW w:w="420" w:type="dxa"/>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对社会保障基金补助</w:t>
            </w:r>
          </w:p>
        </w:tc>
        <w:tc>
          <w:tcPr>
            <w:tcW w:w="397" w:type="dxa"/>
            <w:gridSpan w:val="2"/>
            <w:vMerge w:val="restart"/>
            <w:shd w:val="clear" w:color="auto" w:fill="auto"/>
            <w:vAlign w:val="center"/>
          </w:tcPr>
          <w:p>
            <w:pPr>
              <w:widowControl/>
              <w:jc w:val="center"/>
              <w:outlineLvl w:val="1"/>
              <w:rPr>
                <w:rFonts w:ascii="仿宋_GB2312" w:hAnsi="宋体" w:eastAsia="仿宋_GB2312"/>
                <w:b/>
                <w:kern w:val="0"/>
                <w:sz w:val="18"/>
                <w:szCs w:val="18"/>
              </w:rPr>
            </w:pPr>
            <w:r>
              <w:rPr>
                <w:rFonts w:hint="eastAsia" w:ascii="仿宋_GB2312" w:hAnsi="宋体" w:eastAsia="仿宋_GB2312"/>
                <w:b/>
                <w:kern w:val="0"/>
                <w:sz w:val="18"/>
                <w:szCs w:val="18"/>
              </w:rPr>
              <w:t>其他支出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7" w:hRule="atLeast"/>
        </w:trPr>
        <w:tc>
          <w:tcPr>
            <w:tcW w:w="558" w:type="dxa"/>
            <w:gridSpan w:val="2"/>
            <w:tcBorders>
              <w:bottom w:val="single" w:color="auto" w:sz="4" w:space="0"/>
            </w:tcBorders>
            <w:shd w:val="clear" w:color="auto" w:fill="auto"/>
            <w:noWrap/>
            <w:vAlign w:val="center"/>
          </w:tcPr>
          <w:p>
            <w:pPr>
              <w:widowControl/>
              <w:jc w:val="left"/>
              <w:outlineLvl w:val="1"/>
              <w:rPr>
                <w:rFonts w:ascii="仿宋_GB2312" w:hAnsi="宋体" w:eastAsia="仿宋_GB2312"/>
                <w:b/>
                <w:kern w:val="0"/>
                <w:sz w:val="18"/>
                <w:szCs w:val="18"/>
              </w:rPr>
            </w:pPr>
            <w:r>
              <w:rPr>
                <w:rFonts w:hint="eastAsia" w:ascii="仿宋_GB2312" w:hAnsi="宋体" w:eastAsia="仿宋_GB2312"/>
                <w:b/>
                <w:kern w:val="0"/>
                <w:sz w:val="18"/>
                <w:szCs w:val="18"/>
              </w:rPr>
              <w:t>类</w:t>
            </w:r>
          </w:p>
        </w:tc>
        <w:tc>
          <w:tcPr>
            <w:tcW w:w="308" w:type="dxa"/>
            <w:tcBorders>
              <w:bottom w:val="single" w:color="auto" w:sz="4" w:space="0"/>
            </w:tcBorders>
            <w:shd w:val="clear" w:color="auto" w:fill="auto"/>
            <w:noWrap/>
            <w:vAlign w:val="center"/>
          </w:tcPr>
          <w:p>
            <w:pPr>
              <w:widowControl/>
              <w:jc w:val="left"/>
              <w:outlineLvl w:val="1"/>
              <w:rPr>
                <w:rFonts w:ascii="仿宋_GB2312" w:hAnsi="宋体" w:eastAsia="仿宋_GB2312"/>
                <w:b/>
                <w:kern w:val="0"/>
                <w:sz w:val="18"/>
                <w:szCs w:val="18"/>
              </w:rPr>
            </w:pPr>
            <w:r>
              <w:rPr>
                <w:rFonts w:hint="eastAsia" w:ascii="仿宋_GB2312" w:hAnsi="宋体" w:eastAsia="仿宋_GB2312"/>
                <w:b/>
                <w:kern w:val="0"/>
                <w:sz w:val="18"/>
                <w:szCs w:val="18"/>
              </w:rPr>
              <w:t>款</w:t>
            </w:r>
          </w:p>
        </w:tc>
        <w:tc>
          <w:tcPr>
            <w:tcW w:w="325" w:type="dxa"/>
            <w:tcBorders>
              <w:bottom w:val="single" w:color="auto" w:sz="4" w:space="0"/>
            </w:tcBorders>
            <w:shd w:val="clear" w:color="auto" w:fill="auto"/>
            <w:noWrap/>
            <w:vAlign w:val="center"/>
          </w:tcPr>
          <w:p>
            <w:pPr>
              <w:widowControl/>
              <w:jc w:val="left"/>
              <w:outlineLvl w:val="1"/>
              <w:rPr>
                <w:rFonts w:ascii="仿宋_GB2312" w:hAnsi="宋体" w:eastAsia="仿宋_GB2312"/>
                <w:b/>
                <w:kern w:val="0"/>
                <w:sz w:val="18"/>
                <w:szCs w:val="18"/>
              </w:rPr>
            </w:pPr>
            <w:r>
              <w:rPr>
                <w:rFonts w:hint="eastAsia" w:ascii="仿宋_GB2312" w:hAnsi="宋体" w:eastAsia="仿宋_GB2312"/>
                <w:b/>
                <w:kern w:val="0"/>
                <w:sz w:val="18"/>
                <w:szCs w:val="18"/>
              </w:rPr>
              <w:t>项</w:t>
            </w:r>
          </w:p>
        </w:tc>
        <w:tc>
          <w:tcPr>
            <w:tcW w:w="667" w:type="dxa"/>
            <w:vMerge w:val="continue"/>
            <w:tcBorders>
              <w:bottom w:val="single" w:color="auto" w:sz="4" w:space="0"/>
            </w:tcBorders>
            <w:shd w:val="clear" w:color="auto" w:fill="auto"/>
            <w:vAlign w:val="center"/>
          </w:tcPr>
          <w:p>
            <w:pPr>
              <w:widowControl/>
              <w:jc w:val="left"/>
              <w:outlineLvl w:val="1"/>
              <w:rPr>
                <w:rFonts w:ascii="仿宋_GB2312" w:hAnsi="宋体" w:eastAsia="仿宋_GB2312"/>
                <w:b/>
                <w:kern w:val="0"/>
                <w:sz w:val="18"/>
                <w:szCs w:val="18"/>
              </w:rPr>
            </w:pPr>
          </w:p>
        </w:tc>
        <w:tc>
          <w:tcPr>
            <w:tcW w:w="1640" w:type="dxa"/>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912" w:type="dxa"/>
            <w:gridSpan w:val="2"/>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425" w:type="dxa"/>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709" w:type="dxa"/>
            <w:gridSpan w:val="2"/>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850" w:type="dxa"/>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263" w:type="dxa"/>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578" w:type="dxa"/>
            <w:gridSpan w:val="2"/>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419" w:type="dxa"/>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578" w:type="dxa"/>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420" w:type="dxa"/>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420" w:type="dxa"/>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c>
          <w:tcPr>
            <w:tcW w:w="397" w:type="dxa"/>
            <w:gridSpan w:val="2"/>
            <w:vMerge w:val="continue"/>
            <w:tcBorders>
              <w:bottom w:val="single" w:color="auto" w:sz="4" w:space="0"/>
            </w:tcBorders>
            <w:shd w:val="clear" w:color="auto" w:fill="auto"/>
          </w:tcPr>
          <w:p>
            <w:pPr>
              <w:widowControl/>
              <w:jc w:val="left"/>
              <w:outlineLvl w:val="1"/>
              <w:rPr>
                <w:rFonts w:ascii="仿宋_GB2312" w:hAnsi="宋体" w:eastAsia="仿宋_GB2312"/>
                <w:b/>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trPr>
        <w:tc>
          <w:tcPr>
            <w:tcW w:w="558"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总计　</w:t>
            </w:r>
          </w:p>
        </w:tc>
        <w:tc>
          <w:tcPr>
            <w:tcW w:w="308" w:type="dxa"/>
            <w:shd w:val="clear" w:color="auto" w:fill="auto"/>
          </w:tcPr>
          <w:p>
            <w:pPr>
              <w:widowControl/>
              <w:jc w:val="left"/>
              <w:outlineLvl w:val="1"/>
              <w:rPr>
                <w:rFonts w:ascii="仿宋_GB2312" w:hAnsi="宋体" w:eastAsia="仿宋_GB2312"/>
                <w:kern w:val="0"/>
                <w:sz w:val="32"/>
                <w:szCs w:val="32"/>
              </w:rPr>
            </w:pPr>
            <w:r>
              <w:rPr>
                <w:rFonts w:hint="eastAsia" w:ascii="仿宋_GB2312" w:hAnsi="宋体" w:eastAsia="仿宋_GB2312"/>
                <w:kern w:val="0"/>
                <w:sz w:val="32"/>
                <w:szCs w:val="32"/>
              </w:rPr>
              <w:t>　</w:t>
            </w:r>
          </w:p>
        </w:tc>
        <w:tc>
          <w:tcPr>
            <w:tcW w:w="325" w:type="dxa"/>
            <w:shd w:val="clear" w:color="auto" w:fill="auto"/>
          </w:tcPr>
          <w:p>
            <w:pPr>
              <w:widowControl/>
              <w:jc w:val="left"/>
              <w:outlineLvl w:val="1"/>
              <w:rPr>
                <w:rFonts w:ascii="仿宋_GB2312" w:hAnsi="宋体" w:eastAsia="仿宋_GB2312"/>
                <w:kern w:val="0"/>
                <w:sz w:val="32"/>
                <w:szCs w:val="32"/>
              </w:rPr>
            </w:pPr>
            <w:r>
              <w:rPr>
                <w:rFonts w:hint="eastAsia" w:ascii="仿宋_GB2312" w:hAnsi="宋体" w:eastAsia="仿宋_GB2312"/>
                <w:kern w:val="0"/>
                <w:sz w:val="32"/>
                <w:szCs w:val="32"/>
              </w:rPr>
              <w:t>　</w:t>
            </w:r>
          </w:p>
        </w:tc>
        <w:tc>
          <w:tcPr>
            <w:tcW w:w="667" w:type="dxa"/>
            <w:shd w:val="clear" w:color="auto" w:fill="auto"/>
          </w:tcPr>
          <w:p>
            <w:pPr>
              <w:widowControl/>
              <w:jc w:val="left"/>
              <w:outlineLvl w:val="1"/>
              <w:rPr>
                <w:rFonts w:ascii="仿宋_GB2312" w:hAnsi="宋体" w:eastAsia="仿宋_GB2312"/>
                <w:kern w:val="0"/>
                <w:sz w:val="32"/>
                <w:szCs w:val="32"/>
              </w:rPr>
            </w:pPr>
            <w:r>
              <w:rPr>
                <w:rFonts w:hint="eastAsia" w:ascii="仿宋_GB2312" w:hAnsi="宋体" w:eastAsia="仿宋_GB2312"/>
                <w:kern w:val="0"/>
                <w:sz w:val="32"/>
                <w:szCs w:val="32"/>
              </w:rPr>
              <w:t>　</w:t>
            </w:r>
          </w:p>
        </w:tc>
        <w:tc>
          <w:tcPr>
            <w:tcW w:w="1640" w:type="dxa"/>
            <w:shd w:val="clear" w:color="auto" w:fill="auto"/>
          </w:tcPr>
          <w:p>
            <w:pPr>
              <w:widowControl/>
              <w:jc w:val="left"/>
              <w:outlineLvl w:val="1"/>
              <w:rPr>
                <w:rFonts w:ascii="仿宋_GB2312" w:hAnsi="宋体" w:eastAsia="仿宋_GB2312"/>
                <w:kern w:val="0"/>
                <w:sz w:val="32"/>
                <w:szCs w:val="32"/>
              </w:rPr>
            </w:pPr>
            <w:r>
              <w:rPr>
                <w:rFonts w:hint="eastAsia" w:ascii="仿宋_GB2312" w:hAnsi="宋体" w:eastAsia="仿宋_GB2312"/>
                <w:kern w:val="0"/>
                <w:sz w:val="32"/>
                <w:szCs w:val="32"/>
              </w:rPr>
              <w:t>　　</w:t>
            </w:r>
          </w:p>
        </w:tc>
        <w:tc>
          <w:tcPr>
            <w:tcW w:w="912" w:type="dxa"/>
            <w:gridSpan w:val="2"/>
            <w:shd w:val="clear" w:color="auto" w:fill="auto"/>
          </w:tcPr>
          <w:p>
            <w:pPr>
              <w:widowControl/>
              <w:spacing w:beforeLines="100"/>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27.96</w:t>
            </w:r>
          </w:p>
        </w:tc>
        <w:tc>
          <w:tcPr>
            <w:tcW w:w="425" w:type="dxa"/>
            <w:shd w:val="clear" w:color="auto" w:fill="auto"/>
          </w:tcPr>
          <w:p>
            <w:pPr>
              <w:widowControl/>
              <w:spacing w:beforeLines="100"/>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c>
          <w:tcPr>
            <w:tcW w:w="709" w:type="dxa"/>
            <w:gridSpan w:val="2"/>
            <w:shd w:val="clear" w:color="auto" w:fill="auto"/>
          </w:tcPr>
          <w:p>
            <w:pPr>
              <w:widowControl/>
              <w:spacing w:beforeLines="100"/>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18.00</w:t>
            </w:r>
          </w:p>
        </w:tc>
        <w:tc>
          <w:tcPr>
            <w:tcW w:w="850" w:type="dxa"/>
            <w:shd w:val="clear" w:color="auto" w:fill="auto"/>
          </w:tcPr>
          <w:p>
            <w:pPr>
              <w:widowControl/>
              <w:spacing w:beforeLines="200"/>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9.96</w:t>
            </w:r>
          </w:p>
        </w:tc>
        <w:tc>
          <w:tcPr>
            <w:tcW w:w="263"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19"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397"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9" w:hRule="atLeast"/>
        </w:trPr>
        <w:tc>
          <w:tcPr>
            <w:tcW w:w="558" w:type="dxa"/>
            <w:gridSpan w:val="2"/>
            <w:shd w:val="clear" w:color="auto" w:fill="auto"/>
          </w:tcPr>
          <w:p>
            <w:pPr>
              <w:widowControl/>
              <w:jc w:val="left"/>
              <w:outlineLvl w:val="1"/>
              <w:rPr>
                <w:rFonts w:ascii="仿宋_GB2312" w:hAnsi="宋体" w:eastAsia="仿宋_GB2312"/>
                <w:kern w:val="0"/>
                <w:sz w:val="32"/>
                <w:szCs w:val="32"/>
              </w:rPr>
            </w:pPr>
            <w:r>
              <w:rPr>
                <w:rFonts w:hint="eastAsia" w:ascii="仿宋_GB2312" w:hAnsi="宋体" w:eastAsia="仿宋_GB2312"/>
                <w:kern w:val="0"/>
                <w:sz w:val="32"/>
                <w:szCs w:val="32"/>
              </w:rPr>
              <w:t>　</w:t>
            </w:r>
          </w:p>
        </w:tc>
        <w:tc>
          <w:tcPr>
            <w:tcW w:w="308" w:type="dxa"/>
            <w:shd w:val="clear" w:color="auto" w:fill="auto"/>
          </w:tcPr>
          <w:p>
            <w:pPr>
              <w:widowControl/>
              <w:jc w:val="left"/>
              <w:outlineLvl w:val="1"/>
              <w:rPr>
                <w:rFonts w:ascii="仿宋_GB2312" w:hAnsi="宋体" w:eastAsia="仿宋_GB2312"/>
                <w:kern w:val="0"/>
                <w:sz w:val="32"/>
                <w:szCs w:val="32"/>
              </w:rPr>
            </w:pPr>
            <w:r>
              <w:rPr>
                <w:rFonts w:hint="eastAsia" w:ascii="仿宋_GB2312" w:hAnsi="宋体" w:eastAsia="仿宋_GB2312"/>
                <w:kern w:val="0"/>
                <w:sz w:val="32"/>
                <w:szCs w:val="32"/>
              </w:rPr>
              <w:t>　</w:t>
            </w:r>
          </w:p>
        </w:tc>
        <w:tc>
          <w:tcPr>
            <w:tcW w:w="325" w:type="dxa"/>
            <w:shd w:val="clear" w:color="auto" w:fill="auto"/>
          </w:tcPr>
          <w:p>
            <w:pPr>
              <w:widowControl/>
              <w:jc w:val="left"/>
              <w:outlineLvl w:val="1"/>
              <w:rPr>
                <w:rFonts w:ascii="仿宋_GB2312" w:hAnsi="宋体" w:eastAsia="仿宋_GB2312"/>
                <w:kern w:val="0"/>
                <w:sz w:val="32"/>
                <w:szCs w:val="32"/>
              </w:rPr>
            </w:pPr>
            <w:r>
              <w:rPr>
                <w:rFonts w:hint="eastAsia" w:ascii="仿宋_GB2312" w:hAnsi="宋体" w:eastAsia="仿宋_GB2312"/>
                <w:kern w:val="0"/>
                <w:sz w:val="32"/>
                <w:szCs w:val="32"/>
              </w:rPr>
              <w:t>　</w:t>
            </w:r>
          </w:p>
        </w:tc>
        <w:tc>
          <w:tcPr>
            <w:tcW w:w="667" w:type="dxa"/>
            <w:shd w:val="clear" w:color="auto" w:fill="auto"/>
          </w:tcPr>
          <w:p>
            <w:pPr>
              <w:widowControl/>
              <w:jc w:val="left"/>
              <w:rPr>
                <w:rFonts w:ascii="仿宋_GB2312" w:hAnsi="宋体" w:eastAsia="仿宋_GB2312"/>
                <w:kern w:val="0"/>
                <w:szCs w:val="21"/>
              </w:rPr>
            </w:pPr>
            <w:r>
              <w:rPr>
                <w:rFonts w:hint="eastAsia" w:ascii="仿宋_GB2312" w:hAnsi="宋体" w:eastAsia="仿宋_GB2312"/>
                <w:kern w:val="0"/>
                <w:sz w:val="32"/>
                <w:szCs w:val="32"/>
              </w:rPr>
              <w:t>　</w:t>
            </w:r>
            <w:r>
              <w:rPr>
                <w:rFonts w:hint="eastAsia" w:ascii="仿宋_GB2312" w:hAnsi="宋体" w:eastAsia="仿宋_GB2312"/>
                <w:kern w:val="0"/>
                <w:szCs w:val="21"/>
              </w:rPr>
              <w:t>青格达湖卫生院</w:t>
            </w:r>
          </w:p>
        </w:tc>
        <w:tc>
          <w:tcPr>
            <w:tcW w:w="1640" w:type="dxa"/>
            <w:shd w:val="clear" w:color="auto" w:fill="auto"/>
          </w:tcPr>
          <w:p>
            <w:pPr>
              <w:widowControl/>
              <w:jc w:val="left"/>
              <w:outlineLvl w:val="1"/>
              <w:rPr>
                <w:rFonts w:ascii="仿宋_GB2312" w:hAnsi="宋体" w:eastAsia="仿宋_GB2312"/>
                <w:kern w:val="0"/>
                <w:sz w:val="32"/>
                <w:szCs w:val="32"/>
              </w:rPr>
            </w:pPr>
            <w:r>
              <w:rPr>
                <w:rFonts w:hint="eastAsia" w:ascii="仿宋_GB2312" w:hAnsi="宋体" w:eastAsia="仿宋_GB2312"/>
                <w:kern w:val="0"/>
                <w:sz w:val="32"/>
                <w:szCs w:val="32"/>
              </w:rPr>
              <w:t>　　</w:t>
            </w:r>
          </w:p>
        </w:tc>
        <w:tc>
          <w:tcPr>
            <w:tcW w:w="912" w:type="dxa"/>
            <w:gridSpan w:val="2"/>
            <w:shd w:val="clear" w:color="auto" w:fill="auto"/>
          </w:tcPr>
          <w:p>
            <w:pPr>
              <w:widowControl/>
              <w:spacing w:beforeLines="100"/>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27.96</w:t>
            </w:r>
          </w:p>
        </w:tc>
        <w:tc>
          <w:tcPr>
            <w:tcW w:w="425" w:type="dxa"/>
            <w:shd w:val="clear" w:color="auto" w:fill="auto"/>
          </w:tcPr>
          <w:p>
            <w:pPr>
              <w:widowControl/>
              <w:spacing w:beforeLines="100"/>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c>
          <w:tcPr>
            <w:tcW w:w="709" w:type="dxa"/>
            <w:gridSpan w:val="2"/>
            <w:shd w:val="clear" w:color="auto" w:fill="auto"/>
          </w:tcPr>
          <w:p>
            <w:pPr>
              <w:widowControl/>
              <w:spacing w:beforeLines="100"/>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18.00</w:t>
            </w:r>
          </w:p>
        </w:tc>
        <w:tc>
          <w:tcPr>
            <w:tcW w:w="850" w:type="dxa"/>
            <w:shd w:val="clear" w:color="auto" w:fill="auto"/>
          </w:tcPr>
          <w:p>
            <w:pPr>
              <w:widowControl/>
              <w:spacing w:beforeLines="200"/>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9.96</w:t>
            </w:r>
          </w:p>
        </w:tc>
        <w:tc>
          <w:tcPr>
            <w:tcW w:w="263"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19"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397"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558" w:type="dxa"/>
            <w:gridSpan w:val="2"/>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210　</w:t>
            </w:r>
          </w:p>
        </w:tc>
        <w:tc>
          <w:tcPr>
            <w:tcW w:w="308"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03　</w:t>
            </w:r>
          </w:p>
        </w:tc>
        <w:tc>
          <w:tcPr>
            <w:tcW w:w="325"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02　</w:t>
            </w:r>
          </w:p>
        </w:tc>
        <w:tc>
          <w:tcPr>
            <w:tcW w:w="667"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　乡镇卫生院</w:t>
            </w:r>
          </w:p>
        </w:tc>
        <w:tc>
          <w:tcPr>
            <w:tcW w:w="1640" w:type="dxa"/>
            <w:shd w:val="clear" w:color="auto" w:fill="auto"/>
          </w:tcPr>
          <w:p>
            <w:pPr>
              <w:widowControl/>
              <w:spacing w:beforeLines="100" w:line="276" w:lineRule="auto"/>
              <w:jc w:val="center"/>
              <w:rPr>
                <w:rFonts w:ascii="仿宋_GB2312" w:hAnsi="宋体" w:eastAsia="仿宋_GB2312"/>
                <w:kern w:val="0"/>
                <w:szCs w:val="21"/>
              </w:rPr>
            </w:pPr>
            <w:r>
              <w:rPr>
                <w:rFonts w:hint="eastAsia" w:ascii="仿宋_GB2312" w:hAnsi="宋体" w:eastAsia="仿宋_GB2312"/>
                <w:kern w:val="0"/>
                <w:szCs w:val="21"/>
              </w:rPr>
              <w:t>安保人员工资</w:t>
            </w:r>
          </w:p>
        </w:tc>
        <w:tc>
          <w:tcPr>
            <w:tcW w:w="912" w:type="dxa"/>
            <w:gridSpan w:val="2"/>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9.00</w:t>
            </w:r>
          </w:p>
        </w:tc>
        <w:tc>
          <w:tcPr>
            <w:tcW w:w="425" w:type="dxa"/>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c>
          <w:tcPr>
            <w:tcW w:w="709" w:type="dxa"/>
            <w:gridSpan w:val="2"/>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c>
          <w:tcPr>
            <w:tcW w:w="850" w:type="dxa"/>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9.00</w:t>
            </w:r>
          </w:p>
        </w:tc>
        <w:tc>
          <w:tcPr>
            <w:tcW w:w="263"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19"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397"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558" w:type="dxa"/>
            <w:gridSpan w:val="2"/>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210　</w:t>
            </w:r>
          </w:p>
        </w:tc>
        <w:tc>
          <w:tcPr>
            <w:tcW w:w="308"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03　</w:t>
            </w:r>
          </w:p>
        </w:tc>
        <w:tc>
          <w:tcPr>
            <w:tcW w:w="325"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02　</w:t>
            </w:r>
          </w:p>
        </w:tc>
        <w:tc>
          <w:tcPr>
            <w:tcW w:w="667"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　乡镇卫生院</w:t>
            </w:r>
          </w:p>
        </w:tc>
        <w:tc>
          <w:tcPr>
            <w:tcW w:w="1640" w:type="dxa"/>
            <w:shd w:val="clear" w:color="auto" w:fill="auto"/>
          </w:tcPr>
          <w:p>
            <w:pPr>
              <w:spacing w:beforeLines="100"/>
            </w:pPr>
            <w:r>
              <w:rPr>
                <w:rFonts w:hint="eastAsia" w:ascii="仿宋_GB2312" w:hAnsi="宋体" w:eastAsia="仿宋_GB2312"/>
                <w:kern w:val="0"/>
                <w:szCs w:val="21"/>
              </w:rPr>
              <w:t>基层干部补助</w:t>
            </w:r>
          </w:p>
        </w:tc>
        <w:tc>
          <w:tcPr>
            <w:tcW w:w="912" w:type="dxa"/>
            <w:gridSpan w:val="2"/>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0.96</w:t>
            </w:r>
          </w:p>
        </w:tc>
        <w:tc>
          <w:tcPr>
            <w:tcW w:w="425" w:type="dxa"/>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c>
          <w:tcPr>
            <w:tcW w:w="709" w:type="dxa"/>
            <w:gridSpan w:val="2"/>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c>
          <w:tcPr>
            <w:tcW w:w="850" w:type="dxa"/>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0.96</w:t>
            </w:r>
          </w:p>
        </w:tc>
        <w:tc>
          <w:tcPr>
            <w:tcW w:w="263"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19"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397"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558" w:type="dxa"/>
            <w:gridSpan w:val="2"/>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210　</w:t>
            </w:r>
          </w:p>
        </w:tc>
        <w:tc>
          <w:tcPr>
            <w:tcW w:w="308"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03　</w:t>
            </w:r>
          </w:p>
        </w:tc>
        <w:tc>
          <w:tcPr>
            <w:tcW w:w="325"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02　</w:t>
            </w:r>
          </w:p>
        </w:tc>
        <w:tc>
          <w:tcPr>
            <w:tcW w:w="667" w:type="dxa"/>
            <w:shd w:val="clear" w:color="auto" w:fill="auto"/>
          </w:tcPr>
          <w:p>
            <w:pPr>
              <w:widowControl/>
              <w:jc w:val="left"/>
              <w:outlineLvl w:val="1"/>
              <w:rPr>
                <w:rFonts w:ascii="仿宋_GB2312" w:hAnsi="宋体" w:eastAsia="仿宋_GB2312"/>
                <w:kern w:val="0"/>
                <w:szCs w:val="21"/>
              </w:rPr>
            </w:pPr>
            <w:r>
              <w:rPr>
                <w:rFonts w:hint="eastAsia" w:ascii="仿宋_GB2312" w:hAnsi="宋体" w:eastAsia="仿宋_GB2312"/>
                <w:kern w:val="0"/>
                <w:szCs w:val="21"/>
              </w:rPr>
              <w:t>　乡镇卫生院</w:t>
            </w:r>
          </w:p>
        </w:tc>
        <w:tc>
          <w:tcPr>
            <w:tcW w:w="1640" w:type="dxa"/>
            <w:shd w:val="clear" w:color="auto" w:fill="auto"/>
          </w:tcPr>
          <w:p>
            <w:pPr>
              <w:rPr>
                <w:rFonts w:eastAsia="仿宋_GB2312"/>
              </w:rPr>
            </w:pPr>
            <w:r>
              <w:rPr>
                <w:rFonts w:hint="eastAsia" w:ascii="仿宋_GB2312" w:hAnsi="宋体" w:eastAsia="仿宋_GB2312"/>
                <w:kern w:val="0"/>
                <w:szCs w:val="21"/>
              </w:rPr>
              <w:t>药品、化验材料、卫生材料等业务经费</w:t>
            </w:r>
          </w:p>
        </w:tc>
        <w:tc>
          <w:tcPr>
            <w:tcW w:w="912" w:type="dxa"/>
            <w:gridSpan w:val="2"/>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18.00</w:t>
            </w:r>
          </w:p>
        </w:tc>
        <w:tc>
          <w:tcPr>
            <w:tcW w:w="425" w:type="dxa"/>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c>
          <w:tcPr>
            <w:tcW w:w="709" w:type="dxa"/>
            <w:gridSpan w:val="2"/>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18.00</w:t>
            </w:r>
          </w:p>
        </w:tc>
        <w:tc>
          <w:tcPr>
            <w:tcW w:w="850" w:type="dxa"/>
            <w:shd w:val="clear" w:color="auto" w:fill="auto"/>
          </w:tcPr>
          <w:p>
            <w:pPr>
              <w:widowControl/>
              <w:jc w:val="left"/>
              <w:outlineLvl w:val="1"/>
              <w:rPr>
                <w:rFonts w:asciiTheme="minorEastAsia" w:hAnsiTheme="minorEastAsia" w:eastAsiaTheme="minorEastAsia"/>
                <w:kern w:val="0"/>
                <w:szCs w:val="21"/>
              </w:rPr>
            </w:pPr>
            <w:r>
              <w:rPr>
                <w:rFonts w:hint="eastAsia" w:asciiTheme="minorEastAsia" w:hAnsiTheme="minorEastAsia" w:eastAsiaTheme="minorEastAsia"/>
                <w:kern w:val="0"/>
                <w:szCs w:val="21"/>
              </w:rPr>
              <w:t>　</w:t>
            </w:r>
          </w:p>
        </w:tc>
        <w:tc>
          <w:tcPr>
            <w:tcW w:w="263"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19"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578"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420" w:type="dxa"/>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c>
          <w:tcPr>
            <w:tcW w:w="397" w:type="dxa"/>
            <w:gridSpan w:val="2"/>
            <w:shd w:val="clear" w:color="auto" w:fill="auto"/>
          </w:tcPr>
          <w:p>
            <w:pPr>
              <w:widowControl/>
              <w:jc w:val="left"/>
              <w:outlineLvl w:val="1"/>
              <w:rPr>
                <w:rFonts w:ascii="仿宋_GB2312" w:hAnsi="宋体" w:eastAsia="仿宋_GB2312"/>
                <w:kern w:val="0"/>
                <w:sz w:val="28"/>
                <w:szCs w:val="28"/>
              </w:rPr>
            </w:pPr>
            <w:r>
              <w:rPr>
                <w:rFonts w:hint="eastAsia" w:ascii="仿宋_GB2312" w:hAnsi="宋体" w:eastAsia="仿宋_GB2312"/>
                <w:kern w:val="0"/>
                <w:sz w:val="28"/>
                <w:szCs w:val="28"/>
              </w:rPr>
              <w:t>　</w:t>
            </w:r>
          </w:p>
        </w:tc>
      </w:tr>
    </w:tbl>
    <w:p>
      <w:pPr>
        <w:widowControl/>
        <w:outlineLvl w:val="1"/>
        <w:rPr>
          <w:rFonts w:ascii="仿宋_GB2312" w:hAnsi="宋体" w:eastAsia="仿宋_GB2312"/>
          <w:b/>
          <w:kern w:val="0"/>
          <w:sz w:val="28"/>
          <w:szCs w:val="32"/>
        </w:rPr>
      </w:pPr>
      <w:r>
        <w:rPr>
          <w:rFonts w:hint="eastAsia" w:ascii="仿宋_GB2312" w:hAnsi="宋体" w:eastAsia="仿宋_GB2312"/>
          <w:b/>
          <w:kern w:val="0"/>
          <w:sz w:val="28"/>
          <w:szCs w:val="32"/>
        </w:rPr>
        <w:t>备注：无内容应公开空表并说明情况。</w:t>
      </w:r>
    </w:p>
    <w:p>
      <w:pPr>
        <w:widowControl/>
        <w:jc w:val="left"/>
        <w:outlineLvl w:val="1"/>
        <w:rPr>
          <w:rFonts w:ascii="仿宋_GB2312" w:hAnsi="宋体" w:eastAsia="仿宋_GB2312"/>
          <w:b/>
          <w:kern w:val="0"/>
          <w:sz w:val="32"/>
          <w:szCs w:val="32"/>
        </w:rPr>
      </w:pPr>
    </w:p>
    <w:p>
      <w:pPr>
        <w:widowControl/>
        <w:jc w:val="left"/>
        <w:outlineLvl w:val="1"/>
        <w:rPr>
          <w:rFonts w:ascii="仿宋_GB2312" w:hAnsi="宋体" w:eastAsia="仿宋_GB2312"/>
          <w:b/>
          <w:kern w:val="0"/>
          <w:sz w:val="32"/>
          <w:szCs w:val="32"/>
        </w:rPr>
      </w:pPr>
    </w:p>
    <w:p>
      <w:pPr>
        <w:widowControl/>
        <w:jc w:val="left"/>
        <w:outlineLvl w:val="1"/>
        <w:rPr>
          <w:rFonts w:ascii="仿宋_GB2312" w:hAnsi="宋体" w:eastAsia="仿宋_GB2312"/>
          <w:b/>
          <w:kern w:val="0"/>
          <w:sz w:val="32"/>
          <w:szCs w:val="32"/>
        </w:rPr>
      </w:pPr>
      <w:r>
        <w:rPr>
          <w:rFonts w:hint="eastAsia" w:ascii="仿宋_GB2312" w:hAnsi="宋体" w:eastAsia="仿宋_GB2312"/>
          <w:b/>
          <w:kern w:val="0"/>
          <w:sz w:val="32"/>
          <w:szCs w:val="32"/>
        </w:rPr>
        <w:t>表八：</w:t>
      </w:r>
    </w:p>
    <w:p>
      <w:pPr>
        <w:widowControl/>
        <w:jc w:val="left"/>
        <w:outlineLvl w:val="1"/>
        <w:rPr>
          <w:rFonts w:ascii="仿宋_GB2312" w:hAnsi="宋体" w:eastAsia="仿宋_GB2312"/>
          <w:b/>
          <w:kern w:val="0"/>
          <w:sz w:val="32"/>
          <w:szCs w:val="32"/>
        </w:rPr>
      </w:pPr>
    </w:p>
    <w:p>
      <w:pPr>
        <w:widowControl/>
        <w:jc w:val="center"/>
        <w:outlineLvl w:val="1"/>
        <w:rPr>
          <w:rFonts w:ascii="仿宋_GB2312" w:hAnsi="宋体" w:eastAsia="仿宋_GB2312"/>
          <w:b/>
          <w:kern w:val="0"/>
          <w:sz w:val="32"/>
          <w:szCs w:val="32"/>
        </w:rPr>
      </w:pPr>
      <w:r>
        <w:rPr>
          <w:rFonts w:hint="eastAsia" w:ascii="仿宋_GB2312" w:hAnsi="宋体" w:eastAsia="仿宋_GB2312"/>
          <w:b/>
          <w:kern w:val="0"/>
          <w:sz w:val="32"/>
          <w:szCs w:val="32"/>
        </w:rPr>
        <w:t>一般公共预算“三公”经费支出情况表</w:t>
      </w:r>
    </w:p>
    <w:p>
      <w:pPr>
        <w:widowControl/>
        <w:jc w:val="left"/>
        <w:outlineLvl w:val="1"/>
        <w:rPr>
          <w:rFonts w:ascii="仿宋_GB2312" w:hAnsi="宋体" w:eastAsia="仿宋_GB2312"/>
          <w:kern w:val="0"/>
          <w:sz w:val="24"/>
        </w:rPr>
      </w:pPr>
      <w:r>
        <w:rPr>
          <w:rFonts w:hint="eastAsia" w:ascii="仿宋_GB2312" w:hAnsi="宋体" w:eastAsia="仿宋_GB2312"/>
          <w:kern w:val="0"/>
          <w:sz w:val="24"/>
        </w:rPr>
        <w:t>编制单位：青格达湖卫生院                                        单位：万元</w:t>
      </w:r>
    </w:p>
    <w:tbl>
      <w:tblPr>
        <w:tblStyle w:val="7"/>
        <w:tblW w:w="9087" w:type="dxa"/>
        <w:tblInd w:w="93" w:type="dxa"/>
        <w:tblLayout w:type="fixed"/>
        <w:tblCellMar>
          <w:top w:w="0" w:type="dxa"/>
          <w:left w:w="108" w:type="dxa"/>
          <w:bottom w:w="0" w:type="dxa"/>
          <w:right w:w="108" w:type="dxa"/>
        </w:tblCellMar>
      </w:tblPr>
      <w:tblGrid>
        <w:gridCol w:w="1575"/>
        <w:gridCol w:w="1417"/>
        <w:gridCol w:w="1559"/>
        <w:gridCol w:w="1418"/>
        <w:gridCol w:w="1559"/>
        <w:gridCol w:w="1559"/>
      </w:tblGrid>
      <w:tr>
        <w:tblPrEx>
          <w:tblLayout w:type="fixed"/>
          <w:tblCellMar>
            <w:top w:w="0" w:type="dxa"/>
            <w:left w:w="108" w:type="dxa"/>
            <w:bottom w:w="0" w:type="dxa"/>
            <w:right w:w="108" w:type="dxa"/>
          </w:tblCellMar>
        </w:tblPrEx>
        <w:trPr>
          <w:trHeight w:val="546" w:hRule="atLeast"/>
        </w:trPr>
        <w:tc>
          <w:tcPr>
            <w:tcW w:w="15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合计</w:t>
            </w:r>
          </w:p>
        </w:tc>
        <w:tc>
          <w:tcPr>
            <w:tcW w:w="1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因公出国（境）费</w:t>
            </w:r>
          </w:p>
        </w:tc>
        <w:tc>
          <w:tcPr>
            <w:tcW w:w="4536"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公务用车购置及运行费</w:t>
            </w:r>
          </w:p>
        </w:tc>
        <w:tc>
          <w:tcPr>
            <w:tcW w:w="15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公务接待费</w:t>
            </w:r>
          </w:p>
        </w:tc>
      </w:tr>
      <w:tr>
        <w:tblPrEx>
          <w:tblLayout w:type="fixed"/>
          <w:tblCellMar>
            <w:top w:w="0" w:type="dxa"/>
            <w:left w:w="108" w:type="dxa"/>
            <w:bottom w:w="0" w:type="dxa"/>
            <w:right w:w="108" w:type="dxa"/>
          </w:tblCellMar>
        </w:tblPrEx>
        <w:trPr>
          <w:trHeight w:val="810" w:hRule="atLeast"/>
        </w:trPr>
        <w:tc>
          <w:tcPr>
            <w:tcW w:w="15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color w:val="000000"/>
                <w:kern w:val="0"/>
                <w:sz w:val="22"/>
                <w:szCs w:val="22"/>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b/>
                <w:bCs/>
                <w:color w:val="000000"/>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小计</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公务用车购置费</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公务用车运行费</w:t>
            </w: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2"/>
                <w:szCs w:val="22"/>
              </w:rPr>
            </w:pPr>
          </w:p>
        </w:tc>
      </w:tr>
      <w:tr>
        <w:tblPrEx>
          <w:tblLayout w:type="fixed"/>
          <w:tblCellMar>
            <w:top w:w="0" w:type="dxa"/>
            <w:left w:w="108" w:type="dxa"/>
            <w:bottom w:w="0" w:type="dxa"/>
            <w:right w:w="108" w:type="dxa"/>
          </w:tblCellMar>
        </w:tblPrEx>
        <w:trPr>
          <w:trHeight w:val="592" w:hRule="atLeast"/>
        </w:trPr>
        <w:tc>
          <w:tcPr>
            <w:tcW w:w="15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8" w:hRule="atLeast"/>
        </w:trPr>
        <w:tc>
          <w:tcPr>
            <w:tcW w:w="15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5" w:hRule="atLeast"/>
        </w:trPr>
        <w:tc>
          <w:tcPr>
            <w:tcW w:w="15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PrEx>
        <w:trPr>
          <w:trHeight w:val="563" w:hRule="atLeast"/>
        </w:trPr>
        <w:tc>
          <w:tcPr>
            <w:tcW w:w="15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83" w:hRule="atLeast"/>
        </w:trPr>
        <w:tc>
          <w:tcPr>
            <w:tcW w:w="15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bl>
    <w:p>
      <w:pPr>
        <w:widowControl/>
        <w:outlineLvl w:val="1"/>
        <w:rPr>
          <w:rFonts w:ascii="仿宋_GB2312" w:hAnsi="宋体" w:eastAsia="仿宋_GB2312"/>
          <w:b/>
          <w:kern w:val="0"/>
          <w:sz w:val="32"/>
          <w:szCs w:val="32"/>
        </w:rPr>
      </w:pPr>
      <w:r>
        <w:rPr>
          <w:rFonts w:hint="eastAsia" w:ascii="仿宋_GB2312" w:hAnsi="宋体" w:eastAsia="仿宋_GB2312"/>
          <w:b/>
          <w:kern w:val="0"/>
          <w:sz w:val="28"/>
          <w:szCs w:val="32"/>
        </w:rPr>
        <w:t>备注：本单位无一般公共预算“三公”经费支出。</w:t>
      </w:r>
    </w:p>
    <w:p>
      <w:pPr>
        <w:widowControl/>
        <w:outlineLvl w:val="1"/>
        <w:rPr>
          <w:rFonts w:ascii="仿宋_GB2312" w:hAnsi="宋体" w:eastAsia="仿宋_GB2312"/>
          <w:kern w:val="0"/>
          <w:sz w:val="32"/>
          <w:szCs w:val="32"/>
        </w:rPr>
      </w:pPr>
    </w:p>
    <w:p>
      <w:pPr>
        <w:widowControl/>
        <w:jc w:val="left"/>
        <w:outlineLvl w:val="1"/>
        <w:rPr>
          <w:rFonts w:ascii="仿宋_GB2312" w:hAnsi="宋体" w:eastAsia="仿宋_GB2312"/>
          <w:b/>
          <w:kern w:val="0"/>
          <w:sz w:val="32"/>
          <w:szCs w:val="32"/>
        </w:rPr>
      </w:pPr>
      <w:r>
        <w:rPr>
          <w:rFonts w:hint="eastAsia" w:ascii="仿宋_GB2312" w:hAnsi="宋体" w:eastAsia="仿宋_GB2312"/>
          <w:b/>
          <w:kern w:val="0"/>
          <w:sz w:val="32"/>
          <w:szCs w:val="32"/>
        </w:rPr>
        <w:t>表九：</w:t>
      </w:r>
    </w:p>
    <w:p>
      <w:pPr>
        <w:widowControl/>
        <w:jc w:val="center"/>
        <w:outlineLvl w:val="1"/>
        <w:rPr>
          <w:rFonts w:ascii="仿宋_GB2312" w:hAnsi="宋体" w:eastAsia="仿宋_GB2312"/>
          <w:b/>
          <w:kern w:val="0"/>
          <w:sz w:val="32"/>
          <w:szCs w:val="32"/>
        </w:rPr>
      </w:pPr>
      <w:r>
        <w:rPr>
          <w:rFonts w:hint="eastAsia" w:ascii="仿宋_GB2312" w:hAnsi="宋体" w:eastAsia="仿宋_GB2312"/>
          <w:b/>
          <w:kern w:val="0"/>
          <w:sz w:val="32"/>
          <w:szCs w:val="32"/>
        </w:rPr>
        <w:t>政府性基金预算支出情况表</w:t>
      </w:r>
    </w:p>
    <w:p>
      <w:pPr>
        <w:widowControl/>
        <w:outlineLvl w:val="1"/>
        <w:rPr>
          <w:rFonts w:ascii="仿宋_GB2312" w:hAnsi="宋体" w:eastAsia="仿宋_GB2312"/>
          <w:kern w:val="0"/>
          <w:sz w:val="24"/>
        </w:rPr>
      </w:pPr>
      <w:r>
        <w:rPr>
          <w:rFonts w:hint="eastAsia" w:ascii="仿宋_GB2312" w:hAnsi="宋体" w:eastAsia="仿宋_GB2312"/>
          <w:kern w:val="0"/>
          <w:sz w:val="24"/>
        </w:rPr>
        <w:t>编制单位：青格达湖卫生院                                       单位：万元</w:t>
      </w:r>
    </w:p>
    <w:tbl>
      <w:tblPr>
        <w:tblStyle w:val="7"/>
        <w:tblW w:w="9087" w:type="dxa"/>
        <w:tblInd w:w="93" w:type="dxa"/>
        <w:tblLayout w:type="fixed"/>
        <w:tblCellMar>
          <w:top w:w="0" w:type="dxa"/>
          <w:left w:w="108" w:type="dxa"/>
          <w:bottom w:w="0" w:type="dxa"/>
          <w:right w:w="108" w:type="dxa"/>
        </w:tblCellMar>
      </w:tblPr>
      <w:tblGrid>
        <w:gridCol w:w="458"/>
        <w:gridCol w:w="457"/>
        <w:gridCol w:w="457"/>
        <w:gridCol w:w="2896"/>
        <w:gridCol w:w="1559"/>
        <w:gridCol w:w="1701"/>
        <w:gridCol w:w="1559"/>
      </w:tblGrid>
      <w:tr>
        <w:tblPrEx>
          <w:tblLayout w:type="fixed"/>
          <w:tblCellMar>
            <w:top w:w="0" w:type="dxa"/>
            <w:left w:w="108" w:type="dxa"/>
            <w:bottom w:w="0" w:type="dxa"/>
            <w:right w:w="108" w:type="dxa"/>
          </w:tblCellMar>
        </w:tblPrEx>
        <w:trPr>
          <w:trHeight w:val="465" w:hRule="atLeast"/>
        </w:trPr>
        <w:tc>
          <w:tcPr>
            <w:tcW w:w="4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项  目</w:t>
            </w:r>
          </w:p>
        </w:tc>
        <w:tc>
          <w:tcPr>
            <w:tcW w:w="4819"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政府性基金预算支出</w:t>
            </w:r>
          </w:p>
        </w:tc>
      </w:tr>
      <w:tr>
        <w:tblPrEx>
          <w:tblLayout w:type="fixed"/>
          <w:tblCellMar>
            <w:top w:w="0" w:type="dxa"/>
            <w:left w:w="108" w:type="dxa"/>
            <w:bottom w:w="0" w:type="dxa"/>
            <w:right w:w="108" w:type="dxa"/>
          </w:tblCellMar>
        </w:tblPrEx>
        <w:trPr>
          <w:trHeight w:val="360" w:hRule="atLeast"/>
        </w:trPr>
        <w:tc>
          <w:tcPr>
            <w:tcW w:w="137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18"/>
                <w:szCs w:val="18"/>
              </w:rPr>
            </w:pPr>
            <w:r>
              <w:rPr>
                <w:rFonts w:hint="eastAsia" w:ascii="仿宋_GB2312" w:hAnsi="宋体" w:eastAsia="仿宋_GB2312" w:cs="宋体"/>
                <w:b/>
                <w:bCs/>
                <w:color w:val="000000"/>
                <w:kern w:val="0"/>
                <w:sz w:val="18"/>
                <w:szCs w:val="18"/>
              </w:rPr>
              <w:t>功能分类科目编码</w:t>
            </w:r>
          </w:p>
        </w:tc>
        <w:tc>
          <w:tcPr>
            <w:tcW w:w="289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功能分类科目名称</w:t>
            </w:r>
          </w:p>
        </w:tc>
        <w:tc>
          <w:tcPr>
            <w:tcW w:w="155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小计</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基本支出</w:t>
            </w:r>
          </w:p>
        </w:tc>
        <w:tc>
          <w:tcPr>
            <w:tcW w:w="155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项目支出</w:t>
            </w:r>
          </w:p>
        </w:tc>
      </w:tr>
      <w:tr>
        <w:tblPrEx>
          <w:tblLayout w:type="fixed"/>
          <w:tblCellMar>
            <w:top w:w="0" w:type="dxa"/>
            <w:left w:w="108" w:type="dxa"/>
            <w:bottom w:w="0" w:type="dxa"/>
            <w:right w:w="108" w:type="dxa"/>
          </w:tblCellMar>
        </w:tblPrEx>
        <w:trPr>
          <w:trHeight w:val="315"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类</w:t>
            </w:r>
          </w:p>
        </w:tc>
        <w:tc>
          <w:tcPr>
            <w:tcW w:w="45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款</w:t>
            </w:r>
          </w:p>
        </w:tc>
        <w:tc>
          <w:tcPr>
            <w:tcW w:w="45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4"/>
              </w:rPr>
            </w:pPr>
            <w:r>
              <w:rPr>
                <w:rFonts w:hint="eastAsia" w:ascii="仿宋_GB2312" w:hAnsi="宋体" w:eastAsia="仿宋_GB2312" w:cs="宋体"/>
                <w:b/>
                <w:bCs/>
                <w:color w:val="000000"/>
                <w:kern w:val="0"/>
                <w:sz w:val="24"/>
              </w:rPr>
              <w:t>项</w:t>
            </w:r>
          </w:p>
        </w:tc>
        <w:tc>
          <w:tcPr>
            <w:tcW w:w="289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4"/>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4"/>
              </w:rPr>
            </w:pPr>
          </w:p>
        </w:tc>
        <w:tc>
          <w:tcPr>
            <w:tcW w:w="1701"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4"/>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b/>
                <w:bCs/>
                <w:color w:val="000000"/>
                <w:kern w:val="0"/>
                <w:sz w:val="24"/>
              </w:rPr>
            </w:pPr>
          </w:p>
        </w:tc>
      </w:tr>
      <w:tr>
        <w:tblPrEx>
          <w:tblLayout w:type="fixed"/>
          <w:tblCellMar>
            <w:top w:w="0" w:type="dxa"/>
            <w:left w:w="108" w:type="dxa"/>
            <w:bottom w:w="0" w:type="dxa"/>
            <w:right w:w="108" w:type="dxa"/>
          </w:tblCellMar>
        </w:tblPrEx>
        <w:trPr>
          <w:trHeight w:val="51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289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r>
      <w:tr>
        <w:tblPrEx>
          <w:tblLayout w:type="fixed"/>
          <w:tblCellMar>
            <w:top w:w="0" w:type="dxa"/>
            <w:left w:w="108" w:type="dxa"/>
            <w:bottom w:w="0" w:type="dxa"/>
            <w:right w:w="108" w:type="dxa"/>
          </w:tblCellMar>
        </w:tblPrEx>
        <w:trPr>
          <w:trHeight w:val="51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289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r>
      <w:tr>
        <w:tblPrEx>
          <w:tblLayout w:type="fixed"/>
        </w:tblPrEx>
        <w:trPr>
          <w:trHeight w:val="51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289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r>
      <w:tr>
        <w:tblPrEx>
          <w:tblLayout w:type="fixed"/>
          <w:tblCellMar>
            <w:top w:w="0" w:type="dxa"/>
            <w:left w:w="108" w:type="dxa"/>
            <w:bottom w:w="0" w:type="dxa"/>
            <w:right w:w="108" w:type="dxa"/>
          </w:tblCellMar>
        </w:tblPrEx>
        <w:trPr>
          <w:trHeight w:val="51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289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r>
      <w:tr>
        <w:tblPrEx>
          <w:tblLayout w:type="fixed"/>
          <w:tblCellMar>
            <w:top w:w="0" w:type="dxa"/>
            <w:left w:w="108" w:type="dxa"/>
            <w:bottom w:w="0" w:type="dxa"/>
            <w:right w:w="108" w:type="dxa"/>
          </w:tblCellMar>
        </w:tblPrEx>
        <w:trPr>
          <w:trHeight w:val="51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289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r>
      <w:tr>
        <w:tblPrEx>
          <w:tblLayout w:type="fixed"/>
          <w:tblCellMar>
            <w:top w:w="0" w:type="dxa"/>
            <w:left w:w="108" w:type="dxa"/>
            <w:bottom w:w="0" w:type="dxa"/>
            <w:right w:w="108" w:type="dxa"/>
          </w:tblCellMar>
        </w:tblPrEx>
        <w:trPr>
          <w:trHeight w:val="510" w:hRule="atLeast"/>
        </w:trPr>
        <w:tc>
          <w:tcPr>
            <w:tcW w:w="45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45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289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32"/>
                <w:szCs w:val="32"/>
              </w:rPr>
            </w:pPr>
            <w:r>
              <w:rPr>
                <w:rFonts w:hint="eastAsia" w:ascii="仿宋_GB2312" w:hAnsi="宋体" w:eastAsia="仿宋_GB2312" w:cs="宋体"/>
                <w:b/>
                <w:bCs/>
                <w:color w:val="000000"/>
                <w:kern w:val="0"/>
                <w:sz w:val="32"/>
                <w:szCs w:val="32"/>
              </w:rPr>
              <w:t>　</w:t>
            </w:r>
          </w:p>
        </w:tc>
      </w:tr>
    </w:tbl>
    <w:p>
      <w:pPr>
        <w:widowControl/>
        <w:outlineLvl w:val="1"/>
        <w:rPr>
          <w:rFonts w:ascii="仿宋_GB2312" w:hAnsi="宋体" w:eastAsia="仿宋_GB2312"/>
          <w:b/>
          <w:kern w:val="0"/>
          <w:sz w:val="28"/>
          <w:szCs w:val="32"/>
        </w:rPr>
        <w:sectPr>
          <w:footerReference r:id="rId3" w:type="default"/>
          <w:footerReference r:id="rId4" w:type="even"/>
          <w:pgSz w:w="11906" w:h="16838"/>
          <w:pgMar w:top="2098" w:right="1418" w:bottom="1928" w:left="1588" w:header="851" w:footer="992" w:gutter="0"/>
          <w:pgNumType w:fmt="numberInDash"/>
          <w:cols w:space="720" w:num="1"/>
          <w:docGrid w:linePitch="312" w:charSpace="0"/>
        </w:sectPr>
      </w:pPr>
      <w:r>
        <w:rPr>
          <w:rFonts w:hint="eastAsia" w:ascii="仿宋_GB2312" w:hAnsi="宋体" w:eastAsia="仿宋_GB2312"/>
          <w:b/>
          <w:kern w:val="0"/>
          <w:sz w:val="28"/>
          <w:szCs w:val="32"/>
        </w:rPr>
        <w:t>备注：本单位无政府性基金预算</w:t>
      </w:r>
    </w:p>
    <w:p>
      <w:pPr>
        <w:widowControl/>
        <w:spacing w:beforeLines="50"/>
        <w:ind w:firstLine="1600" w:firstLineChars="500"/>
        <w:outlineLvl w:val="1"/>
        <w:rPr>
          <w:rFonts w:ascii="黑体" w:hAnsi="黑体" w:eastAsia="黑体"/>
          <w:kern w:val="0"/>
          <w:sz w:val="32"/>
          <w:szCs w:val="32"/>
        </w:rPr>
      </w:pPr>
      <w:r>
        <w:rPr>
          <w:rFonts w:hint="eastAsia" w:ascii="黑体" w:hAnsi="黑体" w:eastAsia="黑体"/>
          <w:kern w:val="0"/>
          <w:sz w:val="32"/>
          <w:szCs w:val="32"/>
        </w:rPr>
        <w:t>第三部分  2019年部门预算情况说明</w:t>
      </w:r>
    </w:p>
    <w:p>
      <w:pPr>
        <w:widowControl/>
        <w:spacing w:line="580" w:lineRule="exact"/>
        <w:ind w:firstLine="640"/>
        <w:jc w:val="left"/>
        <w:rPr>
          <w:rFonts w:ascii="黑体" w:hAnsi="宋体" w:eastAsia="黑体" w:cs="宋体"/>
          <w:kern w:val="0"/>
          <w:sz w:val="32"/>
          <w:szCs w:val="32"/>
        </w:rPr>
      </w:pPr>
      <w:r>
        <w:rPr>
          <w:rFonts w:hint="eastAsia" w:ascii="黑体" w:hAnsi="黑体" w:eastAsia="黑体" w:cs="宋体"/>
          <w:bCs/>
          <w:kern w:val="0"/>
          <w:sz w:val="32"/>
          <w:szCs w:val="32"/>
        </w:rPr>
        <w:t>一、</w:t>
      </w:r>
      <w:r>
        <w:rPr>
          <w:rFonts w:hint="eastAsia" w:ascii="黑体" w:hAnsi="宋体" w:eastAsia="黑体" w:cs="宋体"/>
          <w:kern w:val="0"/>
          <w:sz w:val="32"/>
          <w:szCs w:val="32"/>
        </w:rPr>
        <w:t>关于青格达湖卫生院2019年收支预算情况的总体说明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按照全口径预算的原则，青格达湖卫生院2019年所有收入和支出均纳入部门预算管理。收支总预算136.17万元。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收入预算包括：一般公共预算136.17万元。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支出预算包括：社会保障和就业支出10.52万元、医疗卫生与计划生育支出125.65万元。</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二、关于青格达湖卫生院部门2019年收入预算情况说明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青格达湖卫生院部门收入预算1361700元，其中：</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一般公共预算136.17万元，占100 %，比上年减少3.32万元，主要原因是医疗收入减少。    </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政府性基金预算未安排。</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三、关于青格达湖卫生院部门单位2019年支出预算情况说明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青格达湖卫生院部门单位2019年支出预算 1361700元，其中：</w:t>
      </w:r>
    </w:p>
    <w:p>
      <w:pPr>
        <w:widowControl/>
        <w:spacing w:line="580" w:lineRule="exact"/>
        <w:ind w:firstLine="640"/>
        <w:jc w:val="left"/>
        <w:rPr>
          <w:rFonts w:ascii="仿宋_GB2312" w:hAnsi="宋体" w:eastAsia="仿宋_GB2312" w:cs="宋体"/>
          <w:b/>
          <w:kern w:val="0"/>
          <w:sz w:val="32"/>
          <w:szCs w:val="32"/>
        </w:rPr>
      </w:pPr>
      <w:r>
        <w:rPr>
          <w:rFonts w:hint="eastAsia" w:ascii="仿宋_GB2312" w:hAnsi="宋体" w:eastAsia="仿宋_GB2312" w:cs="宋体"/>
          <w:kern w:val="0"/>
          <w:sz w:val="32"/>
          <w:szCs w:val="32"/>
        </w:rPr>
        <w:t>基本支出 108.21 万元，占 79.47 %，比上年减少9.6万元，主要原因是医疗支出减少。</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项目支出27.96万元，占 20.53%，比上年增加5.88万元，主要原因是药品等业务经费增加。</w:t>
      </w:r>
    </w:p>
    <w:p>
      <w:pPr>
        <w:widowControl/>
        <w:spacing w:line="580" w:lineRule="exact"/>
        <w:ind w:firstLine="640"/>
        <w:jc w:val="left"/>
        <w:rPr>
          <w:rFonts w:ascii="黑体" w:hAnsi="黑体" w:eastAsia="黑体" w:cs="宋体"/>
          <w:bCs/>
          <w:kern w:val="0"/>
          <w:sz w:val="32"/>
          <w:szCs w:val="32"/>
        </w:rPr>
      </w:pPr>
      <w:r>
        <w:rPr>
          <w:rFonts w:hint="eastAsia" w:ascii="黑体" w:hAnsi="黑体" w:eastAsia="黑体" w:cs="宋体"/>
          <w:bCs/>
          <w:kern w:val="0"/>
          <w:sz w:val="32"/>
          <w:szCs w:val="32"/>
        </w:rPr>
        <w:t>四、关于</w:t>
      </w:r>
      <w:r>
        <w:rPr>
          <w:rFonts w:hint="eastAsia" w:ascii="黑体" w:hAnsi="宋体" w:eastAsia="黑体" w:cs="宋体"/>
          <w:kern w:val="0"/>
          <w:sz w:val="32"/>
          <w:szCs w:val="32"/>
        </w:rPr>
        <w:t>青格达湖</w:t>
      </w:r>
      <w:r>
        <w:rPr>
          <w:rFonts w:hint="eastAsia" w:ascii="黑体" w:hAnsi="黑体" w:eastAsia="黑体" w:cs="宋体"/>
          <w:bCs/>
          <w:kern w:val="0"/>
          <w:sz w:val="32"/>
          <w:szCs w:val="32"/>
        </w:rPr>
        <w:t>卫生院部门2019年财政拨款收支预算情况的总体说明</w:t>
      </w:r>
    </w:p>
    <w:p>
      <w:pPr>
        <w:spacing w:line="580" w:lineRule="exact"/>
        <w:ind w:firstLine="640"/>
        <w:rPr>
          <w:rFonts w:ascii="仿宋_GB2312" w:hAnsi="宋体" w:eastAsia="仿宋_GB2312" w:cs="宋体"/>
          <w:kern w:val="0"/>
          <w:sz w:val="32"/>
          <w:szCs w:val="32"/>
        </w:rPr>
      </w:pPr>
      <w:r>
        <w:rPr>
          <w:rFonts w:hint="eastAsia" w:ascii="仿宋_GB2312" w:hAnsi="宋体" w:eastAsia="仿宋_GB2312" w:cs="宋体"/>
          <w:kern w:val="0"/>
          <w:sz w:val="32"/>
          <w:szCs w:val="32"/>
        </w:rPr>
        <w:t>2019年财政拨款收支总预算136.17万元。</w:t>
      </w:r>
    </w:p>
    <w:p>
      <w:pPr>
        <w:spacing w:line="580" w:lineRule="exact"/>
        <w:ind w:firstLine="640"/>
        <w:rPr>
          <w:rFonts w:ascii="仿宋_GB2312" w:hAnsi="宋体" w:eastAsia="仿宋_GB2312" w:cs="宋体"/>
          <w:b/>
          <w:kern w:val="0"/>
          <w:sz w:val="32"/>
          <w:szCs w:val="32"/>
        </w:rPr>
      </w:pPr>
      <w:r>
        <w:rPr>
          <w:rFonts w:hint="eastAsia" w:ascii="仿宋_GB2312" w:hAnsi="宋体" w:eastAsia="仿宋_GB2312" w:cs="宋体"/>
          <w:kern w:val="0"/>
          <w:sz w:val="32"/>
          <w:szCs w:val="32"/>
        </w:rPr>
        <w:t>收入全部为一般公共预算拨款，无政府性基金预算拨款。</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五、关于青格达湖卫生院部门2019年一般公共预算当年拨款情况说明</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（一）一般公用预算当年拨款规模变化情况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青格达湖卫生院部门2019年一般公共预算拨款基本支出 136.17万元，比上年执行数减少3.32万元，下降2.37%。主要原因是：医疗支出减少。     </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（二）一般公共预算当年拨款结构情况</w:t>
      </w:r>
    </w:p>
    <w:p>
      <w:pPr>
        <w:widowControl/>
        <w:adjustRightInd w:val="0"/>
        <w:snapToGrid w:val="0"/>
        <w:spacing w:after="200" w:line="460" w:lineRule="exact"/>
        <w:ind w:firstLine="640" w:firstLineChars="2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1.社会保障和就业支出10.52万元，占7.73%。</w:t>
      </w:r>
    </w:p>
    <w:p>
      <w:pPr>
        <w:spacing w:line="580" w:lineRule="exact"/>
        <w:ind w:firstLine="642"/>
        <w:rPr>
          <w:rFonts w:ascii="仿宋_GB2312" w:eastAsia="仿宋_GB2312"/>
          <w:b/>
          <w:sz w:val="32"/>
          <w:szCs w:val="32"/>
        </w:rPr>
      </w:pPr>
      <w:r>
        <w:rPr>
          <w:rFonts w:hint="eastAsia" w:ascii="仿宋_GB2312" w:hAnsi="宋体" w:eastAsia="仿宋_GB2312" w:cs="宋体"/>
          <w:kern w:val="0"/>
          <w:sz w:val="32"/>
          <w:szCs w:val="32"/>
        </w:rPr>
        <w:t>2.医疗卫生与计划生育支出125.65万元，占92.27%。</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（三）一般公共预算当年拨款具体使用情况</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1.　社会保障和就业支出（类）行政事业单位离退休（款）机关事业单位基本养老保险缴费支出（项）2019年预算数为10.52万元，比上年执行数减少0.75万元，减少6.65%，主要原因是在职人员减少。</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2.医疗卫生与计划生育支出（类）基层医疗卫生机构（款）乡镇卫生院（项）2019年预算数为125.65万元，比上年执行数减少2.97万元，减少2.31%，主要原因是就诊人次减少导致医疗收入、支出也有所减少。</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六、关于青格达湖卫生院部门2019年一般公共预算基本支出情况说明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青格达湖卫生院部门2019年一般公共预算基本支出108.21万元， 其中：</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人员经费102.18万元，主要包括：基本工资24.17万元、津贴补贴7.55万元、奖金14.40万元、绩效工资29.60万元、机关事业单位基本养老保险缴费10.52万元、职工基本医疗保险缴费4.73万元、公务员医疗补助缴费1.05万元、其他社会保障缴费1.16万元、住房公积金9.00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公用经费6.03万元，主要包括：办公费0.37万元、水费0.23万元、电费0.47万元、邮电费0.27万元、取暖费1.19万元、差旅费0.58万元、维修（护）费0.02万元、培训费0.79万元、专用材料费0.04万元、工会经费0.62万元、福利费1.43万元、其他商品和服务支出0.02万元。</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七、关于青格达湖卫生院部门2019年项目支出情况说明</w:t>
      </w:r>
    </w:p>
    <w:p>
      <w:pPr>
        <w:widowControl/>
        <w:adjustRightInd w:val="0"/>
        <w:snapToGrid w:val="0"/>
        <w:spacing w:after="200" w:line="460" w:lineRule="exact"/>
        <w:ind w:firstLine="960" w:firstLineChars="300"/>
        <w:jc w:val="left"/>
        <w:outlineLvl w:val="1"/>
        <w:rPr>
          <w:rFonts w:hint="eastAsia" w:ascii="宋体" w:hAnsi="宋体" w:cs="宋体"/>
          <w:kern w:val="0"/>
          <w:sz w:val="32"/>
          <w:szCs w:val="32"/>
        </w:rPr>
      </w:pPr>
      <w:r>
        <w:rPr>
          <w:rFonts w:hint="eastAsia" w:ascii="仿宋_GB2312" w:hAnsi="宋体" w:eastAsia="仿宋_GB2312" w:cs="宋体"/>
          <w:kern w:val="0"/>
          <w:sz w:val="32"/>
          <w:szCs w:val="32"/>
        </w:rPr>
        <w:t>1、项目名称：药品、化验材料、卫生材料</w:t>
      </w:r>
      <w:r>
        <w:rPr>
          <w:rFonts w:hint="eastAsia" w:ascii="宋体" w:hAnsi="宋体" w:cs="宋体"/>
          <w:kern w:val="0"/>
          <w:sz w:val="32"/>
          <w:szCs w:val="32"/>
        </w:rPr>
        <w:t>等费用</w:t>
      </w:r>
    </w:p>
    <w:p>
      <w:pPr>
        <w:widowControl/>
        <w:adjustRightInd w:val="0"/>
        <w:snapToGrid w:val="0"/>
        <w:spacing w:after="200" w:line="460" w:lineRule="exact"/>
        <w:ind w:firstLine="960" w:firstLineChars="300"/>
        <w:jc w:val="left"/>
        <w:outlineLvl w:val="1"/>
        <w:rPr>
          <w:rFonts w:hint="eastAsia" w:ascii="宋体" w:hAnsi="宋体" w:cs="宋体"/>
          <w:kern w:val="0"/>
          <w:sz w:val="32"/>
          <w:szCs w:val="32"/>
        </w:rPr>
      </w:pPr>
      <w:r>
        <w:rPr>
          <w:rFonts w:hint="eastAsia" w:ascii="宋体" w:hAnsi="宋体" w:cs="宋体"/>
          <w:kern w:val="0"/>
          <w:sz w:val="32"/>
          <w:szCs w:val="32"/>
          <w:lang w:val="en-US" w:eastAsia="zh-CN"/>
        </w:rPr>
        <w:t>设立的政策依据：按照核定标准发放</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预算安排规模：18万元</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项目承担单位：新特药、九州通、天山红等药品公司</w:t>
      </w:r>
    </w:p>
    <w:p>
      <w:pPr>
        <w:widowControl/>
        <w:adjustRightInd w:val="0"/>
        <w:snapToGrid w:val="0"/>
        <w:spacing w:after="200" w:line="460" w:lineRule="exact"/>
        <w:ind w:firstLine="960" w:firstLineChars="3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资金分配情况：按照实际采购药品、试剂的款项进行支付</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资金执行时间：2019年1月-12月</w:t>
      </w:r>
    </w:p>
    <w:p>
      <w:pPr>
        <w:widowControl/>
        <w:numPr>
          <w:ilvl w:val="0"/>
          <w:numId w:val="1"/>
        </w:numPr>
        <w:adjustRightInd w:val="0"/>
        <w:snapToGrid w:val="0"/>
        <w:spacing w:after="200" w:line="460" w:lineRule="exact"/>
        <w:ind w:firstLine="960" w:firstLineChars="3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项目名称：安保人员工资</w:t>
      </w:r>
    </w:p>
    <w:p>
      <w:pPr>
        <w:widowControl/>
        <w:adjustRightInd w:val="0"/>
        <w:snapToGrid w:val="0"/>
        <w:spacing w:after="200" w:line="460" w:lineRule="exact"/>
        <w:ind w:firstLine="960" w:firstLineChars="300"/>
        <w:jc w:val="left"/>
        <w:outlineLvl w:val="1"/>
        <w:rPr>
          <w:rFonts w:hint="default" w:ascii="仿宋_GB2312" w:hAnsi="宋体" w:eastAsia="仿宋_GB2312" w:cs="宋体"/>
          <w:kern w:val="0"/>
          <w:sz w:val="32"/>
          <w:szCs w:val="32"/>
          <w:lang w:val="en-US" w:eastAsia="zh-CN"/>
        </w:rPr>
      </w:pPr>
      <w:r>
        <w:rPr>
          <w:rFonts w:hint="eastAsia" w:ascii="宋体" w:hAnsi="宋体" w:cs="宋体"/>
          <w:kern w:val="0"/>
          <w:sz w:val="32"/>
          <w:szCs w:val="32"/>
          <w:lang w:val="en-US" w:eastAsia="zh-CN"/>
        </w:rPr>
        <w:t>设立的政策依据：按照核定标准发放</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预算安排规模：9万元。</w:t>
      </w:r>
    </w:p>
    <w:p>
      <w:pPr>
        <w:widowControl/>
        <w:adjustRightInd w:val="0"/>
        <w:snapToGrid w:val="0"/>
        <w:spacing w:after="200" w:line="460" w:lineRule="exact"/>
        <w:ind w:firstLine="960" w:firstLineChars="3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资金分配情况：3名安保人员工资9万元</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资金执行时间：2019年1月-12月</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资金来源：财政拨款</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补贴人数：安保3名</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补贴标准：安保工资按月发放，每人每月2500元。</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补贴范围：单位聘用的3名安保人员</w:t>
      </w:r>
    </w:p>
    <w:p>
      <w:pPr>
        <w:widowControl/>
        <w:numPr>
          <w:ilvl w:val="0"/>
          <w:numId w:val="1"/>
        </w:numPr>
        <w:adjustRightInd w:val="0"/>
        <w:snapToGrid w:val="0"/>
        <w:spacing w:after="200" w:line="460" w:lineRule="exact"/>
        <w:ind w:left="0" w:leftChars="0" w:firstLine="960" w:firstLineChars="3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项目名称：基层岗位津贴</w:t>
      </w:r>
    </w:p>
    <w:p>
      <w:pPr>
        <w:widowControl/>
        <w:adjustRightInd w:val="0"/>
        <w:snapToGrid w:val="0"/>
        <w:spacing w:after="200" w:line="460" w:lineRule="exact"/>
        <w:ind w:firstLine="960" w:firstLineChars="300"/>
        <w:jc w:val="left"/>
        <w:outlineLvl w:val="1"/>
        <w:rPr>
          <w:rFonts w:hint="default" w:ascii="仿宋_GB2312" w:hAnsi="宋体" w:eastAsia="仿宋_GB2312" w:cs="宋体"/>
          <w:kern w:val="0"/>
          <w:sz w:val="32"/>
          <w:szCs w:val="32"/>
          <w:lang w:val="en-US" w:eastAsia="zh-CN"/>
        </w:rPr>
      </w:pPr>
      <w:r>
        <w:rPr>
          <w:rFonts w:hint="eastAsia" w:ascii="宋体" w:hAnsi="宋体" w:cs="宋体"/>
          <w:kern w:val="0"/>
          <w:sz w:val="32"/>
          <w:szCs w:val="32"/>
          <w:lang w:val="en-US" w:eastAsia="zh-CN"/>
        </w:rPr>
        <w:t>设立的政策依据：按照核定标准发放</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预算安排规模：0.96万元。</w:t>
      </w:r>
    </w:p>
    <w:p>
      <w:pPr>
        <w:widowControl/>
        <w:adjustRightInd w:val="0"/>
        <w:snapToGrid w:val="0"/>
        <w:spacing w:after="200" w:line="460" w:lineRule="exact"/>
        <w:ind w:firstLine="960" w:firstLineChars="300"/>
        <w:jc w:val="left"/>
        <w:outlineLvl w:val="1"/>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资金分配情况：8名干部的基层岗位津贴为0.96万元。</w:t>
      </w:r>
      <w:bookmarkStart w:id="0" w:name="_GoBack"/>
      <w:bookmarkEnd w:id="0"/>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资金执行时间：2019年1月-12月</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资金来源：财政拨款</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补贴人数：干部8名</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补贴标准：基本岗位津贴按月发放，每人每月100元。</w:t>
      </w:r>
    </w:p>
    <w:p>
      <w:pPr>
        <w:widowControl/>
        <w:adjustRightInd w:val="0"/>
        <w:snapToGrid w:val="0"/>
        <w:spacing w:after="200"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补贴范围：单位在编的干部8人</w:t>
      </w:r>
    </w:p>
    <w:p>
      <w:pPr>
        <w:widowControl/>
        <w:spacing w:line="580" w:lineRule="exact"/>
        <w:ind w:firstLine="642"/>
        <w:jc w:val="left"/>
        <w:rPr>
          <w:rFonts w:ascii="黑体" w:hAnsi="宋体" w:eastAsia="黑体" w:cs="宋体"/>
          <w:kern w:val="0"/>
          <w:sz w:val="32"/>
          <w:szCs w:val="32"/>
        </w:rPr>
      </w:pPr>
      <w:r>
        <w:rPr>
          <w:rFonts w:hint="eastAsia" w:ascii="黑体" w:hAnsi="宋体" w:eastAsia="黑体" w:cs="宋体"/>
          <w:kern w:val="0"/>
          <w:sz w:val="32"/>
          <w:szCs w:val="32"/>
        </w:rPr>
        <w:t>八、关于青格达湖卫生院部门2019年一般公共预算“三公”经费预算情况说明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青格达湖卫生院2019 年“三公”经费财政拨款预算数为 0万元，其中：因公出国（境）费 0 万元，公务用车购置 0 万元， 公务用车运行费 0万元，公务接待费 0 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2019 年“三公”经费财政拨款预算比上年减少0 万元，其中： 其中：因公出国（境）费增加 0 万元，主要原因是与上年一致，未安排预算；公务用车购置费增加 0 万元，主要原因是与上年一致，未安排预算；公务用车运行费增加0 万元，主要原因是与上年一致；公务 接待费增加 0 万元，主要原因是与上年一致，未安排预算。</w:t>
      </w:r>
    </w:p>
    <w:p>
      <w:pPr>
        <w:widowControl/>
        <w:spacing w:line="580" w:lineRule="exact"/>
        <w:ind w:firstLine="642"/>
        <w:jc w:val="left"/>
        <w:rPr>
          <w:rFonts w:ascii="黑体" w:hAnsi="宋体" w:eastAsia="黑体" w:cs="宋体"/>
          <w:kern w:val="0"/>
          <w:sz w:val="32"/>
          <w:szCs w:val="32"/>
        </w:rPr>
      </w:pPr>
      <w:r>
        <w:rPr>
          <w:rFonts w:hint="eastAsia" w:ascii="黑体" w:hAnsi="宋体" w:eastAsia="黑体" w:cs="宋体"/>
          <w:kern w:val="0"/>
          <w:sz w:val="32"/>
          <w:szCs w:val="32"/>
        </w:rPr>
        <w:t>九、关于青格达湖卫生院部门2019年政府性基金预算拨款情况说明</w:t>
      </w:r>
    </w:p>
    <w:p>
      <w:pPr>
        <w:widowControl/>
        <w:adjustRightInd w:val="0"/>
        <w:snapToGrid w:val="0"/>
        <w:spacing w:line="460" w:lineRule="exact"/>
        <w:ind w:firstLine="960" w:firstLineChars="300"/>
        <w:jc w:val="left"/>
        <w:outlineLvl w:val="1"/>
        <w:rPr>
          <w:rFonts w:ascii="仿宋_GB2312" w:hAnsi="宋体" w:eastAsia="仿宋_GB2312" w:cs="宋体"/>
          <w:kern w:val="0"/>
          <w:sz w:val="32"/>
          <w:szCs w:val="32"/>
        </w:rPr>
      </w:pPr>
      <w:r>
        <w:rPr>
          <w:rFonts w:hint="eastAsia" w:ascii="仿宋_GB2312" w:hAnsi="宋体" w:eastAsia="仿宋_GB2312" w:cs="宋体"/>
          <w:kern w:val="0"/>
          <w:sz w:val="32"/>
          <w:szCs w:val="32"/>
        </w:rPr>
        <w:t>青格达湖卫生院2019年没有使用政府性基金预算拨款安排的支出，政府性基金预算支出情况表为空表。</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十、其他重要事项的情况说明</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（一）机关运行经费情况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2019年，青格达湖卫生院本级及下属0家行政单位、0家参公管理事业单位和1家事业单位的机关运行经费财政拨款预算27.96万元，比上年预算增加5.88万元，增长26.63%。主要原因是药品等业务经费增加。</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（二）政府采购情况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2019年，青格达湖卫生院部门及下属单位政府采购预算0万元，其中：政府采购货物预算0万元，政府采购工程预算0万元，政府采购服务预算0万元。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仿宋_GB2312" w:eastAsia="仿宋_GB2312"/>
          <w:sz w:val="32"/>
        </w:rPr>
        <w:t>2019年度本部门面向中小企业预留政府采购项目预算金额0万元，其中：面向小微企业预留政府采购项目预算金额0万元。</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（三）国有资产占用使用情况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截至2018年底，青格达湖卫生院部门及下属各预算单位占用使用国有资产总体情况为</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总资产价值：130.73万元</w:t>
      </w:r>
    </w:p>
    <w:p>
      <w:pPr>
        <w:widowControl/>
        <w:shd w:val="clear" w:color="auto" w:fill="FFFFFF"/>
        <w:spacing w:before="100" w:beforeAutospacing="1" w:after="100" w:afterAutospacing="1" w:line="315" w:lineRule="atLeas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1.房屋492平方米，价值96.57万元。</w:t>
      </w:r>
    </w:p>
    <w:p>
      <w:pPr>
        <w:widowControl/>
        <w:shd w:val="clear" w:color="auto" w:fill="FFFFFF"/>
        <w:spacing w:before="100" w:beforeAutospacing="1" w:after="100" w:afterAutospacing="1" w:line="315" w:lineRule="atLeas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2.其他资产价值34.16万元。</w:t>
      </w:r>
    </w:p>
    <w:p>
      <w:pPr>
        <w:widowControl/>
        <w:shd w:val="clear" w:color="auto" w:fill="FFFFFF"/>
        <w:spacing w:before="100" w:beforeAutospacing="1" w:after="100" w:afterAutospacing="1" w:line="315" w:lineRule="atLeas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单位价值50万元以上大型设备0台（套），单位价值100万元以上大型设备0台（套）。</w:t>
      </w:r>
    </w:p>
    <w:p>
      <w:pPr>
        <w:widowControl/>
        <w:shd w:val="clear" w:color="auto" w:fill="FFFFFF"/>
        <w:spacing w:before="100" w:beforeAutospacing="1" w:after="100" w:afterAutospacing="1" w:line="315" w:lineRule="atLeast"/>
        <w:ind w:firstLine="48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2019年部门预算未安排购置车辆经费，安排购置50万元以上大型设备0台（套），单位价值100万元以上大型设备0台（套）</w:t>
      </w:r>
    </w:p>
    <w:p>
      <w:pPr>
        <w:widowControl/>
        <w:spacing w:line="580" w:lineRule="exact"/>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（四）预算绩效情况</w:t>
      </w:r>
    </w:p>
    <w:p>
      <w:pPr>
        <w:widowControl/>
        <w:spacing w:line="580" w:lineRule="exact"/>
        <w:ind w:firstLine="640"/>
        <w:jc w:val="left"/>
        <w:rPr>
          <w:rFonts w:ascii="仿宋_GB2312" w:hAnsi="宋体" w:eastAsia="仿宋_GB2312" w:cs="宋体"/>
          <w:kern w:val="0"/>
          <w:sz w:val="32"/>
          <w:szCs w:val="32"/>
        </w:rPr>
        <w:sectPr>
          <w:pgSz w:w="11906" w:h="16838"/>
          <w:pgMar w:top="1440" w:right="1800" w:bottom="1440" w:left="1800" w:header="851" w:footer="992" w:gutter="0"/>
          <w:cols w:space="425" w:num="1"/>
          <w:docGrid w:type="lines" w:linePitch="312" w:charSpace="0"/>
        </w:sectPr>
      </w:pPr>
      <w:r>
        <w:rPr>
          <w:rFonts w:hint="eastAsia" w:ascii="仿宋_GB2312" w:hAnsi="宋体" w:eastAsia="仿宋_GB2312" w:cs="宋体"/>
          <w:kern w:val="0"/>
          <w:sz w:val="32"/>
          <w:szCs w:val="32"/>
        </w:rPr>
        <w:t>2019年度，本年度实行绩效管理的项目 3个，涉及预算金额 27.96万元。具体情况见下表：</w:t>
      </w:r>
    </w:p>
    <w:tbl>
      <w:tblPr>
        <w:tblStyle w:val="7"/>
        <w:tblW w:w="13973" w:type="dxa"/>
        <w:tblInd w:w="93" w:type="dxa"/>
        <w:tblLayout w:type="fixed"/>
        <w:tblCellMar>
          <w:top w:w="0" w:type="dxa"/>
          <w:left w:w="108" w:type="dxa"/>
          <w:bottom w:w="0" w:type="dxa"/>
          <w:right w:w="108" w:type="dxa"/>
        </w:tblCellMar>
      </w:tblPr>
      <w:tblGrid>
        <w:gridCol w:w="2195"/>
        <w:gridCol w:w="1857"/>
        <w:gridCol w:w="1664"/>
        <w:gridCol w:w="500"/>
        <w:gridCol w:w="1164"/>
        <w:gridCol w:w="323"/>
        <w:gridCol w:w="323"/>
        <w:gridCol w:w="1925"/>
        <w:gridCol w:w="240"/>
        <w:gridCol w:w="9"/>
        <w:gridCol w:w="1155"/>
        <w:gridCol w:w="2120"/>
        <w:gridCol w:w="249"/>
        <w:gridCol w:w="249"/>
      </w:tblGrid>
      <w:tr>
        <w:tblPrEx>
          <w:tblLayout w:type="fixed"/>
          <w:tblCellMar>
            <w:top w:w="0" w:type="dxa"/>
            <w:left w:w="108" w:type="dxa"/>
            <w:bottom w:w="0" w:type="dxa"/>
            <w:right w:w="108" w:type="dxa"/>
          </w:tblCellMar>
        </w:tblPrEx>
        <w:trPr>
          <w:trHeight w:val="534" w:hRule="atLeast"/>
        </w:trPr>
        <w:tc>
          <w:tcPr>
            <w:tcW w:w="13973" w:type="dxa"/>
            <w:gridSpan w:val="14"/>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147" w:hRule="atLeast"/>
        </w:trPr>
        <w:tc>
          <w:tcPr>
            <w:tcW w:w="219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57"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0"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84" w:type="dxa"/>
            <w:gridSpan w:val="3"/>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71" w:hRule="atLeast"/>
        </w:trPr>
        <w:tc>
          <w:tcPr>
            <w:tcW w:w="21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31"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青格达湖卫生院</w:t>
            </w:r>
          </w:p>
        </w:tc>
        <w:tc>
          <w:tcPr>
            <w:tcW w:w="19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22"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药品、化验材料、卫生材料等费用</w:t>
            </w:r>
          </w:p>
        </w:tc>
      </w:tr>
      <w:tr>
        <w:tblPrEx>
          <w:tblLayout w:type="fixed"/>
          <w:tblCellMar>
            <w:top w:w="0" w:type="dxa"/>
            <w:left w:w="108" w:type="dxa"/>
            <w:bottom w:w="0" w:type="dxa"/>
            <w:right w:w="108" w:type="dxa"/>
          </w:tblCellMar>
        </w:tblPrEx>
        <w:trPr>
          <w:trHeight w:val="451" w:hRule="atLeast"/>
        </w:trPr>
        <w:tc>
          <w:tcPr>
            <w:tcW w:w="219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6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18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140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0</w:t>
            </w:r>
          </w:p>
        </w:tc>
      </w:tr>
      <w:tr>
        <w:tblPrEx>
          <w:tblLayout w:type="fixed"/>
          <w:tblCellMar>
            <w:top w:w="0" w:type="dxa"/>
            <w:left w:w="108" w:type="dxa"/>
            <w:bottom w:w="0" w:type="dxa"/>
            <w:right w:w="108" w:type="dxa"/>
          </w:tblCellMar>
        </w:tblPrEx>
        <w:trPr>
          <w:trHeight w:val="401" w:hRule="atLeast"/>
        </w:trPr>
        <w:tc>
          <w:tcPr>
            <w:tcW w:w="219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778" w:type="dxa"/>
            <w:gridSpan w:val="13"/>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提高医院医疗水平，医疗体系更加完善。</w:t>
            </w:r>
          </w:p>
        </w:tc>
      </w:tr>
      <w:tr>
        <w:tblPrEx>
          <w:tblLayout w:type="fixed"/>
        </w:tblPrEx>
        <w:trPr>
          <w:trHeight w:val="271" w:hRule="atLeast"/>
        </w:trPr>
        <w:tc>
          <w:tcPr>
            <w:tcW w:w="219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5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139"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519" w:hRule="atLeast"/>
        </w:trPr>
        <w:tc>
          <w:tcPr>
            <w:tcW w:w="219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139" w:type="dxa"/>
            <w:gridSpan w:val="7"/>
            <w:tcBorders>
              <w:top w:val="single" w:color="000000" w:sz="4" w:space="0"/>
              <w:left w:val="nil"/>
              <w:right w:val="single" w:color="000000" w:sz="4" w:space="0"/>
            </w:tcBorders>
            <w:shd w:val="clear" w:color="auto" w:fill="auto"/>
            <w:vAlign w:val="center"/>
          </w:tcPr>
          <w:p>
            <w:pPr>
              <w:widowControl/>
              <w:rPr>
                <w:rFonts w:ascii="宋体" w:hAnsi="宋体" w:cs="宋体"/>
                <w:kern w:val="0"/>
                <w:sz w:val="18"/>
                <w:szCs w:val="18"/>
              </w:rPr>
            </w:pPr>
            <w:r>
              <w:rPr>
                <w:rFonts w:hint="eastAsia" w:ascii="宋体" w:hAnsi="宋体" w:cs="宋体"/>
                <w:kern w:val="0"/>
                <w:sz w:val="18"/>
                <w:szCs w:val="18"/>
              </w:rPr>
              <w:t>全年药品、化验材料、卫生材料等共需经费18万元</w:t>
            </w:r>
          </w:p>
          <w:p>
            <w:pPr>
              <w:widowControl/>
              <w:jc w:val="center"/>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rPr>
                <w:rFonts w:ascii="宋体" w:hAnsi="宋体" w:cs="宋体"/>
                <w:kern w:val="0"/>
                <w:sz w:val="18"/>
                <w:szCs w:val="18"/>
              </w:rPr>
            </w:pPr>
            <w:r>
              <w:rPr>
                <w:rFonts w:hint="eastAsia" w:ascii="宋体" w:hAnsi="宋体" w:cs="宋体"/>
                <w:kern w:val="0"/>
                <w:sz w:val="18"/>
                <w:szCs w:val="18"/>
              </w:rPr>
              <w:t>全年药品、化验材料、卫生材料等共需经费18万元</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139" w:type="dxa"/>
            <w:gridSpan w:val="7"/>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及时采购病人所需药品及检查材料等</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药品及化验材料卫生材料，及时更换，均为保质期之内材料。　</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139" w:type="dxa"/>
            <w:gridSpan w:val="7"/>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全年材料费用18万元</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rPr>
                <w:rFonts w:ascii="宋体" w:hAnsi="宋体" w:cs="宋体"/>
                <w:kern w:val="0"/>
                <w:sz w:val="18"/>
                <w:szCs w:val="18"/>
              </w:rPr>
            </w:pPr>
            <w:r>
              <w:rPr>
                <w:rFonts w:hint="eastAsia" w:ascii="宋体" w:hAnsi="宋体" w:cs="宋体"/>
                <w:kern w:val="0"/>
                <w:sz w:val="18"/>
                <w:szCs w:val="18"/>
              </w:rPr>
              <w:t>全年材料费用18万元</w:t>
            </w:r>
          </w:p>
        </w:tc>
      </w:tr>
      <w:tr>
        <w:tblPrEx>
          <w:tblLayout w:type="fixed"/>
          <w:tblCellMar>
            <w:top w:w="0" w:type="dxa"/>
            <w:left w:w="108" w:type="dxa"/>
            <w:bottom w:w="0" w:type="dxa"/>
            <w:right w:w="108" w:type="dxa"/>
          </w:tblCellMar>
        </w:tblPrEx>
        <w:trPr>
          <w:trHeight w:val="319"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139" w:type="dxa"/>
            <w:gridSpan w:val="7"/>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及时采购病人所需药品及检查材料等</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药品及其他材料均在保质期内使用</w:t>
            </w:r>
          </w:p>
          <w:p>
            <w:pPr>
              <w:widowControl/>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4" w:hRule="atLeast"/>
        </w:trPr>
        <w:tc>
          <w:tcPr>
            <w:tcW w:w="219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139" w:type="dxa"/>
            <w:gridSpan w:val="7"/>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我院医疗收入增加，拉动经济增长</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我院医疗收入增加，拉动经济增长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139" w:type="dxa"/>
            <w:gridSpan w:val="7"/>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提高我院医疗卫生服务水平</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提高我院医疗卫生服务水平　　</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139" w:type="dxa"/>
            <w:gridSpan w:val="7"/>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方便群众就医，提高诊断效率</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方便群众就医，提高诊断效率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59"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139" w:type="dxa"/>
            <w:gridSpan w:val="7"/>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提高为患者服务质量，拉动经济</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提高为患者服务质量，拉动经济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92" w:hRule="atLeast"/>
        </w:trPr>
        <w:tc>
          <w:tcPr>
            <w:tcW w:w="219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5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139" w:type="dxa"/>
            <w:gridSpan w:val="7"/>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群众满意度达标</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群众满意度达标　</w:t>
            </w:r>
          </w:p>
        </w:tc>
      </w:tr>
      <w:tr>
        <w:tblPrEx>
          <w:tblLayout w:type="fixed"/>
          <w:tblCellMar>
            <w:top w:w="0" w:type="dxa"/>
            <w:left w:w="108" w:type="dxa"/>
            <w:bottom w:w="0" w:type="dxa"/>
            <w:right w:w="108" w:type="dxa"/>
          </w:tblCellMar>
        </w:tblPrEx>
        <w:trPr>
          <w:trHeight w:val="271"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139" w:type="dxa"/>
            <w:gridSpan w:val="7"/>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p>
        </w:tc>
        <w:tc>
          <w:tcPr>
            <w:tcW w:w="3782"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06" w:hRule="atLeast"/>
        </w:trPr>
        <w:tc>
          <w:tcPr>
            <w:tcW w:w="13973" w:type="dxa"/>
            <w:gridSpan w:val="14"/>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PrEx>
        <w:trPr>
          <w:trHeight w:val="271" w:hRule="atLeast"/>
        </w:trPr>
        <w:tc>
          <w:tcPr>
            <w:tcW w:w="219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57"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9"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71" w:hRule="atLeast"/>
        </w:trPr>
        <w:tc>
          <w:tcPr>
            <w:tcW w:w="21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31"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青格达湖卫生院</w:t>
            </w:r>
          </w:p>
        </w:tc>
        <w:tc>
          <w:tcPr>
            <w:tcW w:w="19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22"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安保人员工资</w:t>
            </w:r>
          </w:p>
        </w:tc>
      </w:tr>
      <w:tr>
        <w:tblPrEx>
          <w:tblLayout w:type="fixed"/>
          <w:tblCellMar>
            <w:top w:w="0" w:type="dxa"/>
            <w:left w:w="108" w:type="dxa"/>
            <w:bottom w:w="0" w:type="dxa"/>
            <w:right w:w="108" w:type="dxa"/>
          </w:tblCellMar>
        </w:tblPrEx>
        <w:trPr>
          <w:trHeight w:val="451" w:hRule="atLeast"/>
        </w:trPr>
        <w:tc>
          <w:tcPr>
            <w:tcW w:w="219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6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18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140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0</w:t>
            </w:r>
          </w:p>
        </w:tc>
      </w:tr>
      <w:tr>
        <w:tblPrEx>
          <w:tblLayout w:type="fixed"/>
          <w:tblCellMar>
            <w:top w:w="0" w:type="dxa"/>
            <w:left w:w="108" w:type="dxa"/>
            <w:bottom w:w="0" w:type="dxa"/>
            <w:right w:w="108" w:type="dxa"/>
          </w:tblCellMar>
        </w:tblPrEx>
        <w:trPr>
          <w:trHeight w:val="401" w:hRule="atLeast"/>
        </w:trPr>
        <w:tc>
          <w:tcPr>
            <w:tcW w:w="219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778" w:type="dxa"/>
            <w:gridSpan w:val="13"/>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充实基层力量，全力配合工作</w:t>
            </w:r>
          </w:p>
        </w:tc>
      </w:tr>
      <w:tr>
        <w:tblPrEx>
          <w:tblLayout w:type="fixed"/>
          <w:tblCellMar>
            <w:top w:w="0" w:type="dxa"/>
            <w:left w:w="108" w:type="dxa"/>
            <w:bottom w:w="0" w:type="dxa"/>
            <w:right w:w="108" w:type="dxa"/>
          </w:tblCellMar>
        </w:tblPrEx>
        <w:trPr>
          <w:trHeight w:val="271" w:hRule="atLeast"/>
        </w:trPr>
        <w:tc>
          <w:tcPr>
            <w:tcW w:w="219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5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148"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624" w:hRule="atLeast"/>
        </w:trPr>
        <w:tc>
          <w:tcPr>
            <w:tcW w:w="219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148" w:type="dxa"/>
            <w:gridSpan w:val="8"/>
            <w:tcBorders>
              <w:top w:val="single" w:color="000000" w:sz="4" w:space="0"/>
              <w:left w:val="nil"/>
              <w:right w:val="single" w:color="000000" w:sz="4" w:space="0"/>
            </w:tcBorders>
            <w:shd w:val="clear" w:color="auto" w:fill="auto"/>
            <w:vAlign w:val="center"/>
          </w:tcPr>
          <w:p>
            <w:pPr>
              <w:widowControl/>
              <w:rPr>
                <w:rFonts w:ascii="宋体" w:hAnsi="宋体" w:cs="宋体"/>
                <w:kern w:val="0"/>
                <w:sz w:val="18"/>
                <w:szCs w:val="18"/>
              </w:rPr>
            </w:pPr>
            <w:r>
              <w:rPr>
                <w:rFonts w:hint="eastAsia" w:ascii="宋体" w:hAnsi="宋体" w:cs="宋体"/>
                <w:kern w:val="0"/>
                <w:sz w:val="18"/>
                <w:szCs w:val="18"/>
              </w:rPr>
              <w:t>我院共3名安保人员，全年共需安保人员工资9万元。</w:t>
            </w:r>
          </w:p>
          <w:p>
            <w:pPr>
              <w:widowControl/>
              <w:jc w:val="center"/>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我院共8名安保人员，全年共需安保人员工资24万元。　　</w:t>
            </w:r>
          </w:p>
        </w:tc>
      </w:tr>
      <w:tr>
        <w:tblPrEx>
          <w:tblLayout w:type="fixed"/>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3名安保人员工资按月及时发放。</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rPr>
                <w:rFonts w:ascii="宋体" w:hAnsi="宋体" w:cs="宋体"/>
                <w:kern w:val="0"/>
                <w:sz w:val="18"/>
                <w:szCs w:val="18"/>
              </w:rPr>
            </w:pPr>
            <w:r>
              <w:rPr>
                <w:rFonts w:hint="eastAsia" w:ascii="宋体" w:hAnsi="宋体" w:cs="宋体"/>
                <w:kern w:val="0"/>
                <w:sz w:val="18"/>
                <w:szCs w:val="18"/>
              </w:rPr>
              <w:t>3名安保人员工资按月及时发放。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p>
            <w:pPr>
              <w:widowControl/>
              <w:jc w:val="left"/>
              <w:rPr>
                <w:rFonts w:ascii="宋体" w:hAnsi="宋体" w:cs="宋体"/>
                <w:kern w:val="0"/>
                <w:sz w:val="18"/>
                <w:szCs w:val="18"/>
              </w:rPr>
            </w:pPr>
            <w:r>
              <w:rPr>
                <w:rFonts w:hint="eastAsia" w:ascii="宋体" w:hAnsi="宋体" w:cs="宋体"/>
                <w:kern w:val="0"/>
                <w:sz w:val="18"/>
                <w:szCs w:val="18"/>
              </w:rPr>
              <w:t>3名安保人员每人每月2500元工资标准。</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p>
            <w:pPr>
              <w:widowControl/>
              <w:jc w:val="center"/>
              <w:rPr>
                <w:rFonts w:ascii="宋体" w:hAnsi="宋体" w:cs="宋体"/>
                <w:kern w:val="0"/>
                <w:sz w:val="18"/>
                <w:szCs w:val="18"/>
              </w:rPr>
            </w:pPr>
            <w:r>
              <w:rPr>
                <w:rFonts w:hint="eastAsia" w:ascii="宋体" w:hAnsi="宋体" w:cs="宋体"/>
                <w:kern w:val="0"/>
                <w:sz w:val="18"/>
                <w:szCs w:val="18"/>
              </w:rPr>
              <w:t>3名安保人员每人每月2500元工资标准。　</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按上级要求按月发放2500元安保人员工资。</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按上级要求按月发放2500元安保人员工资。</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4" w:hRule="atLeast"/>
        </w:trPr>
        <w:tc>
          <w:tcPr>
            <w:tcW w:w="219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提高生活质量，拉动经济</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rPr>
                <w:rFonts w:ascii="宋体" w:hAnsi="宋体" w:cs="宋体"/>
                <w:kern w:val="0"/>
                <w:sz w:val="18"/>
                <w:szCs w:val="18"/>
              </w:rPr>
            </w:pPr>
            <w:r>
              <w:rPr>
                <w:rFonts w:hint="eastAsia" w:ascii="宋体" w:hAnsi="宋体" w:cs="宋体"/>
                <w:kern w:val="0"/>
                <w:sz w:val="18"/>
                <w:szCs w:val="18"/>
              </w:rPr>
              <w:t>提高生活质量，拉动经济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59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提高我院医疗服务水平</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提高我院医疗服务水平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83"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148" w:type="dxa"/>
            <w:gridSpan w:val="8"/>
            <w:vMerge w:val="restart"/>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充实基层力量，提高医疗环境标准　</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rPr>
                <w:rFonts w:ascii="宋体" w:hAnsi="宋体" w:cs="宋体"/>
                <w:kern w:val="0"/>
                <w:sz w:val="18"/>
                <w:szCs w:val="18"/>
              </w:rPr>
            </w:pPr>
            <w:r>
              <w:rPr>
                <w:rFonts w:hint="eastAsia" w:ascii="宋体" w:hAnsi="宋体" w:cs="宋体"/>
                <w:kern w:val="0"/>
                <w:sz w:val="18"/>
                <w:szCs w:val="18"/>
              </w:rPr>
              <w:t>充实基层力量，提高医疗环境标准</w:t>
            </w:r>
          </w:p>
        </w:tc>
      </w:tr>
      <w:tr>
        <w:tblPrEx>
          <w:tblLayout w:type="fixed"/>
        </w:tblPrEx>
        <w:trPr>
          <w:trHeight w:val="283"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148" w:type="dxa"/>
            <w:gridSpan w:val="8"/>
            <w:vMerge w:val="continue"/>
            <w:tcBorders>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83"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148"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提高为患者服务质量，拉动经济</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提高为患者服务质量，拉动经济　</w:t>
            </w:r>
          </w:p>
        </w:tc>
      </w:tr>
      <w:tr>
        <w:tblPrEx>
          <w:tblLayout w:type="fixed"/>
          <w:tblCellMar>
            <w:top w:w="0" w:type="dxa"/>
            <w:left w:w="108" w:type="dxa"/>
            <w:bottom w:w="0" w:type="dxa"/>
            <w:right w:w="108" w:type="dxa"/>
          </w:tblCellMar>
        </w:tblPrEx>
        <w:trPr>
          <w:trHeight w:val="283"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148"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71" w:hRule="atLeast"/>
        </w:trPr>
        <w:tc>
          <w:tcPr>
            <w:tcW w:w="219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5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148"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群众满意度达标</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群众满意度达标　</w:t>
            </w:r>
          </w:p>
        </w:tc>
      </w:tr>
      <w:tr>
        <w:tblPrEx>
          <w:tblLayout w:type="fixed"/>
          <w:tblCellMar>
            <w:top w:w="0" w:type="dxa"/>
            <w:left w:w="108" w:type="dxa"/>
            <w:bottom w:w="0" w:type="dxa"/>
            <w:right w:w="108" w:type="dxa"/>
          </w:tblCellMar>
        </w:tblPrEx>
        <w:trPr>
          <w:trHeight w:val="271"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148"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06" w:hRule="atLeast"/>
        </w:trPr>
        <w:tc>
          <w:tcPr>
            <w:tcW w:w="13973" w:type="dxa"/>
            <w:gridSpan w:val="14"/>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PrEx>
        <w:trPr>
          <w:trHeight w:val="271" w:hRule="atLeast"/>
        </w:trPr>
        <w:tc>
          <w:tcPr>
            <w:tcW w:w="219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57"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9"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71" w:hRule="atLeast"/>
        </w:trPr>
        <w:tc>
          <w:tcPr>
            <w:tcW w:w="21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31"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青格达湖卫生院</w:t>
            </w:r>
          </w:p>
        </w:tc>
        <w:tc>
          <w:tcPr>
            <w:tcW w:w="19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22"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基层岗位津贴</w:t>
            </w:r>
          </w:p>
        </w:tc>
      </w:tr>
      <w:tr>
        <w:tblPrEx>
          <w:tblLayout w:type="fixed"/>
          <w:tblCellMar>
            <w:top w:w="0" w:type="dxa"/>
            <w:left w:w="108" w:type="dxa"/>
            <w:bottom w:w="0" w:type="dxa"/>
            <w:right w:w="108" w:type="dxa"/>
          </w:tblCellMar>
        </w:tblPrEx>
        <w:trPr>
          <w:trHeight w:val="451" w:hRule="atLeast"/>
        </w:trPr>
        <w:tc>
          <w:tcPr>
            <w:tcW w:w="219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6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0.96</w:t>
            </w:r>
          </w:p>
        </w:tc>
        <w:tc>
          <w:tcPr>
            <w:tcW w:w="181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0.96</w:t>
            </w:r>
          </w:p>
        </w:tc>
        <w:tc>
          <w:tcPr>
            <w:tcW w:w="140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0　</w:t>
            </w:r>
          </w:p>
        </w:tc>
      </w:tr>
      <w:tr>
        <w:tblPrEx>
          <w:tblLayout w:type="fixed"/>
          <w:tblCellMar>
            <w:top w:w="0" w:type="dxa"/>
            <w:left w:w="108" w:type="dxa"/>
            <w:bottom w:w="0" w:type="dxa"/>
            <w:right w:w="108" w:type="dxa"/>
          </w:tblCellMar>
        </w:tblPrEx>
        <w:trPr>
          <w:trHeight w:val="401" w:hRule="atLeast"/>
        </w:trPr>
        <w:tc>
          <w:tcPr>
            <w:tcW w:w="219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778" w:type="dxa"/>
            <w:gridSpan w:val="13"/>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r>
              <w:rPr>
                <w:rFonts w:hint="eastAsia" w:ascii="宋体" w:hAnsi="宋体" w:cs="宋体"/>
                <w:kern w:val="0"/>
                <w:sz w:val="20"/>
                <w:szCs w:val="20"/>
              </w:rPr>
              <w:t>充实基层力量，提高基层为民服务质量。</w:t>
            </w:r>
          </w:p>
        </w:tc>
      </w:tr>
      <w:tr>
        <w:tblPrEx>
          <w:tblLayout w:type="fixed"/>
          <w:tblCellMar>
            <w:top w:w="0" w:type="dxa"/>
            <w:left w:w="108" w:type="dxa"/>
            <w:bottom w:w="0" w:type="dxa"/>
            <w:right w:w="108" w:type="dxa"/>
          </w:tblCellMar>
        </w:tblPrEx>
        <w:trPr>
          <w:trHeight w:val="271" w:hRule="atLeast"/>
        </w:trPr>
        <w:tc>
          <w:tcPr>
            <w:tcW w:w="219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57"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148"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624" w:hRule="atLeast"/>
        </w:trPr>
        <w:tc>
          <w:tcPr>
            <w:tcW w:w="219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148" w:type="dxa"/>
            <w:gridSpan w:val="8"/>
            <w:tcBorders>
              <w:top w:val="single" w:color="000000" w:sz="4" w:space="0"/>
              <w:left w:val="nil"/>
              <w:right w:val="single" w:color="000000" w:sz="4" w:space="0"/>
            </w:tcBorders>
            <w:shd w:val="clear" w:color="auto" w:fill="auto"/>
            <w:vAlign w:val="center"/>
          </w:tcPr>
          <w:p>
            <w:pPr>
              <w:widowControl/>
              <w:rPr>
                <w:rFonts w:ascii="宋体" w:hAnsi="宋体" w:cs="宋体"/>
                <w:kern w:val="0"/>
                <w:sz w:val="18"/>
                <w:szCs w:val="18"/>
              </w:rPr>
            </w:pPr>
            <w:r>
              <w:rPr>
                <w:rFonts w:hint="eastAsia" w:ascii="宋体" w:hAnsi="宋体" w:cs="宋体"/>
                <w:kern w:val="0"/>
                <w:sz w:val="18"/>
                <w:szCs w:val="18"/>
              </w:rPr>
              <w:t>基层岗位津贴全年0.96万元　</w:t>
            </w:r>
          </w:p>
          <w:p>
            <w:pPr>
              <w:widowControl/>
              <w:jc w:val="center"/>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基层岗位津贴全年0.96万元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我单位8名在职人员没月按时发放</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我单位8名在职人员没月按时发放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我单位8名在职人员每人每月100元</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我单位8名在职人员每人每月100元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每月按上级要求按时发放</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每月按上级要求按时发放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4" w:hRule="atLeast"/>
        </w:trPr>
        <w:tc>
          <w:tcPr>
            <w:tcW w:w="219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提高医疗服务质量，拉动经济</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提高医疗服务质量，拉动经济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w:t>
            </w:r>
            <w:r>
              <w:rPr>
                <w:rFonts w:hint="eastAsia" w:ascii="宋体" w:hAnsi="宋体" w:cs="宋体"/>
                <w:kern w:val="0"/>
                <w:sz w:val="20"/>
                <w:szCs w:val="20"/>
              </w:rPr>
              <w:t>管理制度、项目持续发挥的期限</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管理制度、项目持续发挥的期限</w:t>
            </w:r>
            <w:r>
              <w:rPr>
                <w:rFonts w:hint="eastAsia" w:ascii="宋体" w:hAnsi="宋体" w:cs="宋体"/>
                <w:kern w:val="0"/>
                <w:sz w:val="18"/>
                <w:szCs w:val="18"/>
              </w:rPr>
              <w:t>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提高医疗服务水平，为群众服务。</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提高医疗服务水平，为群众服务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PrEx>
        <w:trPr>
          <w:trHeight w:val="624" w:hRule="atLeast"/>
        </w:trPr>
        <w:tc>
          <w:tcPr>
            <w:tcW w:w="219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148" w:type="dxa"/>
            <w:gridSpan w:val="8"/>
            <w:tcBorders>
              <w:top w:val="single" w:color="000000" w:sz="4" w:space="0"/>
              <w:left w:val="nil"/>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提高医疗服务水平，为群众服务。</w:t>
            </w:r>
          </w:p>
          <w:p>
            <w:pPr>
              <w:widowControl/>
              <w:jc w:val="left"/>
              <w:rPr>
                <w:rFonts w:ascii="宋体" w:hAnsi="宋体" w:cs="宋体"/>
                <w:kern w:val="0"/>
                <w:sz w:val="18"/>
                <w:szCs w:val="18"/>
              </w:rPr>
            </w:pPr>
            <w:r>
              <w:rPr>
                <w:rFonts w:hint="eastAsia" w:ascii="宋体" w:hAnsi="宋体" w:cs="宋体"/>
                <w:kern w:val="0"/>
                <w:sz w:val="18"/>
                <w:szCs w:val="18"/>
              </w:rPr>
              <w:t>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　　提高医疗服务水平，为群众服务。　</w:t>
            </w:r>
          </w:p>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71" w:hRule="atLeast"/>
        </w:trPr>
        <w:tc>
          <w:tcPr>
            <w:tcW w:w="219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5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148"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群众满意度达标　</w:t>
            </w:r>
          </w:p>
        </w:tc>
        <w:tc>
          <w:tcPr>
            <w:tcW w:w="377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群众满意度达标　</w:t>
            </w:r>
          </w:p>
        </w:tc>
      </w:tr>
    </w:tbl>
    <w:p>
      <w:pPr>
        <w:widowControl/>
        <w:spacing w:line="600" w:lineRule="exact"/>
        <w:rPr>
          <w:rFonts w:ascii="仿宋_GB2312" w:hAnsi="宋体" w:eastAsia="仿宋_GB2312" w:cs="宋体"/>
          <w:kern w:val="0"/>
          <w:sz w:val="32"/>
          <w:szCs w:val="32"/>
        </w:rPr>
        <w:sectPr>
          <w:pgSz w:w="16838" w:h="11906" w:orient="landscape"/>
          <w:pgMar w:top="1800" w:right="1440" w:bottom="1800" w:left="1440" w:header="851" w:footer="992" w:gutter="0"/>
          <w:cols w:space="425" w:num="1"/>
          <w:docGrid w:type="lines" w:linePitch="312" w:charSpace="0"/>
        </w:sectPr>
      </w:pPr>
    </w:p>
    <w:p>
      <w:pPr>
        <w:widowControl/>
        <w:spacing w:line="560" w:lineRule="exact"/>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（五）其他需说明的事项</w:t>
      </w:r>
    </w:p>
    <w:p>
      <w:pPr>
        <w:widowControl/>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无</w:t>
      </w:r>
    </w:p>
    <w:p>
      <w:pPr>
        <w:widowControl/>
        <w:spacing w:line="560" w:lineRule="exact"/>
        <w:jc w:val="left"/>
        <w:rPr>
          <w:rFonts w:ascii="仿宋_GB2312" w:hAnsi="宋体" w:eastAsia="仿宋_GB2312" w:cs="宋体"/>
          <w:kern w:val="0"/>
          <w:sz w:val="32"/>
          <w:szCs w:val="32"/>
        </w:rPr>
      </w:pPr>
    </w:p>
    <w:p>
      <w:pPr>
        <w:widowControl/>
        <w:spacing w:beforeLines="50"/>
        <w:jc w:val="center"/>
        <w:outlineLvl w:val="1"/>
        <w:rPr>
          <w:rFonts w:ascii="黑体" w:hAnsi="黑体" w:eastAsia="黑体"/>
          <w:kern w:val="0"/>
          <w:sz w:val="32"/>
          <w:szCs w:val="32"/>
        </w:rPr>
      </w:pPr>
      <w:r>
        <w:rPr>
          <w:rFonts w:hint="eastAsia" w:ascii="黑体" w:hAnsi="黑体" w:eastAsia="黑体"/>
          <w:kern w:val="0"/>
          <w:sz w:val="32"/>
          <w:szCs w:val="32"/>
        </w:rPr>
        <w:t>第四部分  名词解释</w:t>
      </w:r>
    </w:p>
    <w:p>
      <w:pPr>
        <w:widowControl/>
        <w:spacing w:line="56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名词解释：</w:t>
      </w:r>
    </w:p>
    <w:p>
      <w:pPr>
        <w:spacing w:line="550" w:lineRule="exact"/>
        <w:ind w:firstLine="642"/>
        <w:rPr>
          <w:rFonts w:ascii="仿宋_GB2312" w:eastAsia="仿宋_GB2312"/>
          <w:sz w:val="32"/>
          <w:szCs w:val="32"/>
        </w:rPr>
      </w:pPr>
      <w:r>
        <w:rPr>
          <w:rFonts w:hint="eastAsia" w:ascii="黑体" w:hAnsi="黑体" w:eastAsia="黑体"/>
          <w:sz w:val="32"/>
          <w:szCs w:val="32"/>
        </w:rPr>
        <w:t>一、财政拨款：</w:t>
      </w:r>
      <w:r>
        <w:rPr>
          <w:rFonts w:hint="eastAsia" w:ascii="仿宋_GB2312" w:eastAsia="仿宋_GB2312"/>
          <w:sz w:val="32"/>
          <w:szCs w:val="32"/>
        </w:rPr>
        <w:t>指由一般公共预算、政府性基金预算安排的财政拨款数。</w:t>
      </w:r>
    </w:p>
    <w:p>
      <w:pPr>
        <w:spacing w:line="550" w:lineRule="exact"/>
        <w:ind w:firstLine="642"/>
        <w:rPr>
          <w:rFonts w:ascii="仿宋_GB2312" w:eastAsia="仿宋_GB2312"/>
          <w:sz w:val="32"/>
          <w:szCs w:val="32"/>
        </w:rPr>
      </w:pPr>
      <w:r>
        <w:rPr>
          <w:rFonts w:hint="eastAsia" w:ascii="黑体" w:hAnsi="黑体" w:eastAsia="黑体"/>
          <w:sz w:val="32"/>
          <w:szCs w:val="32"/>
        </w:rPr>
        <w:t>二、一般公共预算：</w:t>
      </w:r>
      <w:r>
        <w:rPr>
          <w:rFonts w:hint="eastAsia" w:ascii="仿宋_GB2312" w:eastAsia="仿宋_GB2312"/>
          <w:sz w:val="32"/>
          <w:szCs w:val="32"/>
        </w:rPr>
        <w:t>包括公共财政拨款（补助）资金、专项收入。</w:t>
      </w:r>
    </w:p>
    <w:p>
      <w:pPr>
        <w:spacing w:line="550" w:lineRule="exact"/>
        <w:ind w:firstLine="642"/>
        <w:rPr>
          <w:rFonts w:ascii="仿宋_GB2312" w:eastAsia="仿宋_GB2312"/>
          <w:sz w:val="32"/>
          <w:szCs w:val="32"/>
        </w:rPr>
      </w:pPr>
      <w:r>
        <w:rPr>
          <w:rFonts w:hint="eastAsia" w:ascii="黑体" w:hAnsi="黑体" w:eastAsia="黑体"/>
          <w:sz w:val="32"/>
          <w:szCs w:val="32"/>
        </w:rPr>
        <w:t>三、财政专户管理资金：</w:t>
      </w:r>
      <w:r>
        <w:rPr>
          <w:rFonts w:hint="eastAsia" w:ascii="仿宋_GB2312" w:eastAsia="仿宋_GB2312"/>
          <w:sz w:val="32"/>
          <w:szCs w:val="32"/>
        </w:rPr>
        <w:t>包括专户管理行政事业性收费（主要是教育收费）、其他非税收入。</w:t>
      </w:r>
    </w:p>
    <w:p>
      <w:pPr>
        <w:spacing w:line="550" w:lineRule="exact"/>
        <w:ind w:firstLine="642"/>
        <w:rPr>
          <w:rFonts w:ascii="仿宋_GB2312" w:eastAsia="仿宋_GB2312"/>
          <w:sz w:val="32"/>
          <w:szCs w:val="32"/>
        </w:rPr>
      </w:pPr>
      <w:r>
        <w:rPr>
          <w:rFonts w:hint="eastAsia" w:ascii="黑体" w:hAnsi="黑体" w:eastAsia="黑体"/>
          <w:sz w:val="32"/>
          <w:szCs w:val="32"/>
        </w:rPr>
        <w:t>四、其他资金：</w:t>
      </w:r>
      <w:r>
        <w:rPr>
          <w:rFonts w:hint="eastAsia" w:ascii="仿宋_GB2312" w:eastAsia="仿宋_GB2312"/>
          <w:sz w:val="32"/>
          <w:szCs w:val="32"/>
        </w:rPr>
        <w:t>包括事业收入、经营收入、其他收入等。</w:t>
      </w:r>
    </w:p>
    <w:p>
      <w:pPr>
        <w:spacing w:line="550" w:lineRule="exact"/>
        <w:ind w:firstLine="642"/>
        <w:rPr>
          <w:rFonts w:ascii="仿宋_GB2312" w:eastAsia="仿宋_GB2312"/>
          <w:sz w:val="32"/>
          <w:szCs w:val="32"/>
        </w:rPr>
      </w:pPr>
      <w:r>
        <w:rPr>
          <w:rFonts w:hint="eastAsia" w:ascii="黑体" w:hAnsi="黑体" w:eastAsia="黑体"/>
          <w:sz w:val="32"/>
          <w:szCs w:val="32"/>
        </w:rPr>
        <w:t>五、基本支出：</w:t>
      </w:r>
      <w:r>
        <w:rPr>
          <w:rFonts w:hint="eastAsia" w:ascii="仿宋_GB2312" w:eastAsia="仿宋_GB2312"/>
          <w:sz w:val="32"/>
          <w:szCs w:val="32"/>
        </w:rPr>
        <w:t>包括人员经费、商品和服务支出（定额）。其中，人员经费包括工资福利支出、对个人和家庭的补助。</w:t>
      </w:r>
    </w:p>
    <w:p>
      <w:pPr>
        <w:spacing w:line="550" w:lineRule="exact"/>
        <w:ind w:firstLine="642"/>
        <w:rPr>
          <w:rFonts w:ascii="仿宋_GB2312" w:eastAsia="仿宋_GB2312"/>
          <w:sz w:val="32"/>
          <w:szCs w:val="32"/>
        </w:rPr>
      </w:pPr>
      <w:r>
        <w:rPr>
          <w:rFonts w:hint="eastAsia" w:ascii="黑体" w:hAnsi="黑体" w:eastAsia="黑体"/>
          <w:sz w:val="32"/>
          <w:szCs w:val="32"/>
        </w:rPr>
        <w:t>六、项目支出：</w:t>
      </w:r>
      <w:r>
        <w:rPr>
          <w:rFonts w:hint="eastAsia" w:ascii="仿宋_GB2312" w:eastAsia="仿宋_GB2312"/>
          <w:sz w:val="32"/>
          <w:szCs w:val="32"/>
        </w:rPr>
        <w:t>部门支出预算的组成部分，是自治区本级部门为完成其特定的行政任务或事业发展目标，在基本支出预算之外编制的年度项目支出计划。</w:t>
      </w:r>
    </w:p>
    <w:p>
      <w:pPr>
        <w:spacing w:line="550" w:lineRule="exact"/>
        <w:ind w:firstLine="642"/>
        <w:rPr>
          <w:rFonts w:ascii="仿宋_GB2312" w:eastAsia="仿宋_GB2312"/>
          <w:sz w:val="32"/>
          <w:szCs w:val="32"/>
        </w:rPr>
      </w:pPr>
      <w:r>
        <w:rPr>
          <w:rFonts w:hint="eastAsia" w:ascii="黑体" w:hAnsi="黑体" w:eastAsia="黑体"/>
          <w:sz w:val="32"/>
          <w:szCs w:val="32"/>
        </w:rPr>
        <w:t>七、“三公”经费：</w:t>
      </w:r>
      <w:r>
        <w:rPr>
          <w:rFonts w:hint="eastAsia" w:ascii="仿宋_GB2312" w:eastAsia="仿宋_GB2312"/>
          <w:sz w:val="32"/>
          <w:szCs w:val="32"/>
        </w:rPr>
        <w:t>指乌鲁木齐市本级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p>
    <w:p>
      <w:pPr>
        <w:spacing w:line="550" w:lineRule="exact"/>
        <w:ind w:firstLine="642"/>
        <w:rPr>
          <w:rFonts w:ascii="仿宋_GB2312" w:eastAsia="仿宋_GB2312"/>
          <w:sz w:val="32"/>
          <w:szCs w:val="32"/>
        </w:rPr>
      </w:pPr>
      <w:r>
        <w:rPr>
          <w:rFonts w:hint="eastAsia" w:ascii="黑体" w:hAnsi="黑体" w:eastAsia="黑体"/>
          <w:sz w:val="32"/>
          <w:szCs w:val="32"/>
        </w:rPr>
        <w:t>八、机关运行经费：</w:t>
      </w:r>
      <w:r>
        <w:rPr>
          <w:rFonts w:hint="eastAsia" w:ascii="仿宋_GB2312" w:eastAsia="仿宋_GB2312"/>
          <w:sz w:val="32"/>
          <w:szCs w:val="32"/>
        </w:rPr>
        <w:t>指各部门的公用经费，包括办公及印刷费、邮电费、差旅费、会议费、福利费、日常维修费、专用材料及一般设备购置费、办公用房水电费、办公用房取暖费、办公用房物业管理费、公务用车运行维护费及其他费用。</w:t>
      </w: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高新区（新市区）青格达湖卫生院</w:t>
      </w:r>
    </w:p>
    <w:p>
      <w:pPr>
        <w:widowControl/>
        <w:spacing w:line="56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2019</w:t>
      </w:r>
      <w:r>
        <w:rPr>
          <w:rFonts w:ascii="仿宋_GB2312" w:hAnsi="宋体" w:eastAsia="仿宋_GB2312" w:cs="宋体"/>
          <w:kern w:val="0"/>
          <w:sz w:val="32"/>
          <w:szCs w:val="32"/>
        </w:rPr>
        <w:t>年</w:t>
      </w:r>
      <w:r>
        <w:rPr>
          <w:rFonts w:hint="eastAsia" w:ascii="仿宋_GB2312" w:hAnsi="宋体" w:eastAsia="仿宋_GB2312" w:cs="宋体"/>
          <w:kern w:val="0"/>
          <w:sz w:val="32"/>
          <w:szCs w:val="32"/>
        </w:rPr>
        <w:t>2</w:t>
      </w:r>
      <w:r>
        <w:rPr>
          <w:rFonts w:ascii="仿宋_GB2312" w:hAnsi="宋体" w:eastAsia="仿宋_GB2312" w:cs="宋体"/>
          <w:kern w:val="0"/>
          <w:sz w:val="32"/>
          <w:szCs w:val="32"/>
        </w:rPr>
        <w:t>月</w:t>
      </w:r>
      <w:r>
        <w:rPr>
          <w:rFonts w:hint="eastAsia" w:ascii="仿宋_GB2312" w:hAnsi="宋体" w:eastAsia="仿宋_GB2312" w:cs="宋体"/>
          <w:kern w:val="0"/>
          <w:sz w:val="32"/>
          <w:szCs w:val="32"/>
        </w:rPr>
        <w:t>28</w:t>
      </w:r>
      <w:r>
        <w:rPr>
          <w:rFonts w:ascii="仿宋_GB2312" w:hAnsi="宋体" w:eastAsia="仿宋_GB2312" w:cs="宋体"/>
          <w:kern w:val="0"/>
          <w:sz w:val="32"/>
          <w:szCs w:val="32"/>
        </w:rPr>
        <w:t>日</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方正小标宋_GBK">
    <w:altName w:val="宋体"/>
    <w:panose1 w:val="00000000000000000000"/>
    <w:charset w:val="86"/>
    <w:family w:val="script"/>
    <w:pitch w:val="default"/>
    <w:sig w:usb0="00000000" w:usb1="00000000" w:usb2="00000010" w:usb3="00000000" w:csb0="00040000" w:csb1="00000000"/>
  </w:font>
  <w:font w:name="Default">
    <w:altName w:val="Courier New"/>
    <w:panose1 w:val="00000000000000000000"/>
    <w:charset w:val="00"/>
    <w:family w:val="auto"/>
    <w:pitch w:val="default"/>
    <w:sig w:usb0="00000000" w:usb1="00000000" w:usb2="00000000" w:usb3="00000000" w:csb0="00000000" w:csb1="00000000"/>
  </w:font>
  <w:font w:name="楷体_GB2312">
    <w:panose1 w:val="02010609030101010101"/>
    <w:charset w:val="86"/>
    <w:family w:val="modern"/>
    <w:pitch w:val="default"/>
    <w:sig w:usb0="00000001" w:usb1="080E0000" w:usb2="00000000" w:usb3="00000000" w:csb0="0004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8 -</w:t>
    </w:r>
    <w:r>
      <w:rPr>
        <w:rFonts w:ascii="宋体" w:hAnsi="宋体" w:eastAsia="宋体"/>
        <w:sz w:val="28"/>
        <w:szCs w:val="2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30 -</w:t>
    </w:r>
    <w:r>
      <w:rPr>
        <w:rFonts w:ascii="宋体" w:hAnsi="宋体" w:eastAsia="宋体"/>
        <w:sz w:val="28"/>
        <w:szCs w:val="28"/>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5BB868"/>
    <w:multiLevelType w:val="singleLevel"/>
    <w:tmpl w:val="515BB86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B5144"/>
    <w:rsid w:val="0000067C"/>
    <w:rsid w:val="000018C6"/>
    <w:rsid w:val="00003466"/>
    <w:rsid w:val="000167F4"/>
    <w:rsid w:val="0002229A"/>
    <w:rsid w:val="00023556"/>
    <w:rsid w:val="00035312"/>
    <w:rsid w:val="00036612"/>
    <w:rsid w:val="000413A4"/>
    <w:rsid w:val="00047D3D"/>
    <w:rsid w:val="00060DB6"/>
    <w:rsid w:val="00072C21"/>
    <w:rsid w:val="0007517B"/>
    <w:rsid w:val="00087B88"/>
    <w:rsid w:val="000B1E83"/>
    <w:rsid w:val="000E4652"/>
    <w:rsid w:val="000F191C"/>
    <w:rsid w:val="000F3537"/>
    <w:rsid w:val="000F68E4"/>
    <w:rsid w:val="000F7671"/>
    <w:rsid w:val="001015D1"/>
    <w:rsid w:val="001058A0"/>
    <w:rsid w:val="001533CF"/>
    <w:rsid w:val="001756AF"/>
    <w:rsid w:val="0018445B"/>
    <w:rsid w:val="00192A1C"/>
    <w:rsid w:val="001B77C5"/>
    <w:rsid w:val="001C6414"/>
    <w:rsid w:val="001D56B9"/>
    <w:rsid w:val="001E02B4"/>
    <w:rsid w:val="001F4A19"/>
    <w:rsid w:val="00237CB9"/>
    <w:rsid w:val="00242B52"/>
    <w:rsid w:val="0024470C"/>
    <w:rsid w:val="00270F00"/>
    <w:rsid w:val="00276D86"/>
    <w:rsid w:val="00285014"/>
    <w:rsid w:val="0029760A"/>
    <w:rsid w:val="002A0B86"/>
    <w:rsid w:val="002B3258"/>
    <w:rsid w:val="002B5144"/>
    <w:rsid w:val="002C20AA"/>
    <w:rsid w:val="002C7526"/>
    <w:rsid w:val="002D25F2"/>
    <w:rsid w:val="002E1101"/>
    <w:rsid w:val="002E1901"/>
    <w:rsid w:val="002E48B9"/>
    <w:rsid w:val="002F1BE3"/>
    <w:rsid w:val="00307988"/>
    <w:rsid w:val="00313788"/>
    <w:rsid w:val="00323686"/>
    <w:rsid w:val="00325B17"/>
    <w:rsid w:val="00354C27"/>
    <w:rsid w:val="00367B35"/>
    <w:rsid w:val="003749AC"/>
    <w:rsid w:val="0038551D"/>
    <w:rsid w:val="00386638"/>
    <w:rsid w:val="00390629"/>
    <w:rsid w:val="003A60CC"/>
    <w:rsid w:val="003B1313"/>
    <w:rsid w:val="003B1705"/>
    <w:rsid w:val="003C0F97"/>
    <w:rsid w:val="003E5F22"/>
    <w:rsid w:val="003F7671"/>
    <w:rsid w:val="00401CF6"/>
    <w:rsid w:val="00414FCA"/>
    <w:rsid w:val="004224C3"/>
    <w:rsid w:val="00462210"/>
    <w:rsid w:val="004854B9"/>
    <w:rsid w:val="0049168B"/>
    <w:rsid w:val="00491935"/>
    <w:rsid w:val="004B1EFC"/>
    <w:rsid w:val="004D213E"/>
    <w:rsid w:val="004D25A5"/>
    <w:rsid w:val="004D2BC5"/>
    <w:rsid w:val="004E2D77"/>
    <w:rsid w:val="005015E1"/>
    <w:rsid w:val="00501B45"/>
    <w:rsid w:val="00504ADA"/>
    <w:rsid w:val="005052EE"/>
    <w:rsid w:val="00523E32"/>
    <w:rsid w:val="00523EBD"/>
    <w:rsid w:val="0053155A"/>
    <w:rsid w:val="005369B5"/>
    <w:rsid w:val="005413BE"/>
    <w:rsid w:val="00554C17"/>
    <w:rsid w:val="0055624F"/>
    <w:rsid w:val="005704A6"/>
    <w:rsid w:val="005A017E"/>
    <w:rsid w:val="005C4D7A"/>
    <w:rsid w:val="005D11E6"/>
    <w:rsid w:val="005E5274"/>
    <w:rsid w:val="0060178F"/>
    <w:rsid w:val="006048B1"/>
    <w:rsid w:val="00610ECD"/>
    <w:rsid w:val="006219BA"/>
    <w:rsid w:val="0066768B"/>
    <w:rsid w:val="00684C8B"/>
    <w:rsid w:val="00692430"/>
    <w:rsid w:val="00692AAD"/>
    <w:rsid w:val="00694301"/>
    <w:rsid w:val="00697F15"/>
    <w:rsid w:val="006A2DF9"/>
    <w:rsid w:val="006C48E7"/>
    <w:rsid w:val="006E719C"/>
    <w:rsid w:val="006F2164"/>
    <w:rsid w:val="00703CC1"/>
    <w:rsid w:val="007040F8"/>
    <w:rsid w:val="00711F69"/>
    <w:rsid w:val="0072124A"/>
    <w:rsid w:val="007231E7"/>
    <w:rsid w:val="007271EB"/>
    <w:rsid w:val="00730AAF"/>
    <w:rsid w:val="007327E6"/>
    <w:rsid w:val="00733FD1"/>
    <w:rsid w:val="00746C99"/>
    <w:rsid w:val="007542F2"/>
    <w:rsid w:val="00756664"/>
    <w:rsid w:val="00773FF0"/>
    <w:rsid w:val="00780917"/>
    <w:rsid w:val="007A41E2"/>
    <w:rsid w:val="007B3004"/>
    <w:rsid w:val="007D75A1"/>
    <w:rsid w:val="007E1FE6"/>
    <w:rsid w:val="007F1CC9"/>
    <w:rsid w:val="00802410"/>
    <w:rsid w:val="00824EA8"/>
    <w:rsid w:val="008408F8"/>
    <w:rsid w:val="008478BB"/>
    <w:rsid w:val="00851F3C"/>
    <w:rsid w:val="00853F27"/>
    <w:rsid w:val="00880853"/>
    <w:rsid w:val="00883284"/>
    <w:rsid w:val="00884A57"/>
    <w:rsid w:val="008A392D"/>
    <w:rsid w:val="008B4D8E"/>
    <w:rsid w:val="008C5B7E"/>
    <w:rsid w:val="008D0E94"/>
    <w:rsid w:val="008F1118"/>
    <w:rsid w:val="008F3F12"/>
    <w:rsid w:val="009149D3"/>
    <w:rsid w:val="00927FE0"/>
    <w:rsid w:val="00930640"/>
    <w:rsid w:val="00935B93"/>
    <w:rsid w:val="009414FA"/>
    <w:rsid w:val="00943564"/>
    <w:rsid w:val="0094473E"/>
    <w:rsid w:val="00946C27"/>
    <w:rsid w:val="00957094"/>
    <w:rsid w:val="00964867"/>
    <w:rsid w:val="009702E5"/>
    <w:rsid w:val="00987005"/>
    <w:rsid w:val="009D3D94"/>
    <w:rsid w:val="009F309D"/>
    <w:rsid w:val="009F333B"/>
    <w:rsid w:val="00A12983"/>
    <w:rsid w:val="00A22913"/>
    <w:rsid w:val="00A22B1B"/>
    <w:rsid w:val="00A47B25"/>
    <w:rsid w:val="00A62CEA"/>
    <w:rsid w:val="00A82ED4"/>
    <w:rsid w:val="00A85CA4"/>
    <w:rsid w:val="00A95BFE"/>
    <w:rsid w:val="00A97150"/>
    <w:rsid w:val="00AA27D2"/>
    <w:rsid w:val="00AC0749"/>
    <w:rsid w:val="00AC0AD1"/>
    <w:rsid w:val="00AD1BE8"/>
    <w:rsid w:val="00AF00E9"/>
    <w:rsid w:val="00AF35E2"/>
    <w:rsid w:val="00B04822"/>
    <w:rsid w:val="00B11E96"/>
    <w:rsid w:val="00B23D92"/>
    <w:rsid w:val="00B31F46"/>
    <w:rsid w:val="00B4563F"/>
    <w:rsid w:val="00B53CD9"/>
    <w:rsid w:val="00B63BA5"/>
    <w:rsid w:val="00B807EF"/>
    <w:rsid w:val="00B83C60"/>
    <w:rsid w:val="00B87B30"/>
    <w:rsid w:val="00B91036"/>
    <w:rsid w:val="00B916F7"/>
    <w:rsid w:val="00BB6661"/>
    <w:rsid w:val="00BD18C6"/>
    <w:rsid w:val="00BE3688"/>
    <w:rsid w:val="00BF68C4"/>
    <w:rsid w:val="00C03E0D"/>
    <w:rsid w:val="00C137CB"/>
    <w:rsid w:val="00C2626B"/>
    <w:rsid w:val="00C612A1"/>
    <w:rsid w:val="00C71FE5"/>
    <w:rsid w:val="00CA0474"/>
    <w:rsid w:val="00CA400C"/>
    <w:rsid w:val="00CA7C9B"/>
    <w:rsid w:val="00CB39DD"/>
    <w:rsid w:val="00CB689C"/>
    <w:rsid w:val="00CC3983"/>
    <w:rsid w:val="00CF667D"/>
    <w:rsid w:val="00CF7726"/>
    <w:rsid w:val="00D04421"/>
    <w:rsid w:val="00D25034"/>
    <w:rsid w:val="00D51F8D"/>
    <w:rsid w:val="00D7222A"/>
    <w:rsid w:val="00D9353D"/>
    <w:rsid w:val="00DA0EE4"/>
    <w:rsid w:val="00DB0B4B"/>
    <w:rsid w:val="00DB6459"/>
    <w:rsid w:val="00DC7EE3"/>
    <w:rsid w:val="00DD1D76"/>
    <w:rsid w:val="00DE1AC6"/>
    <w:rsid w:val="00E11C22"/>
    <w:rsid w:val="00E156D4"/>
    <w:rsid w:val="00E17E9C"/>
    <w:rsid w:val="00E26502"/>
    <w:rsid w:val="00E30627"/>
    <w:rsid w:val="00E404B4"/>
    <w:rsid w:val="00E563F7"/>
    <w:rsid w:val="00E65A16"/>
    <w:rsid w:val="00E7706F"/>
    <w:rsid w:val="00E823AD"/>
    <w:rsid w:val="00E84964"/>
    <w:rsid w:val="00EA28BE"/>
    <w:rsid w:val="00EB3AFA"/>
    <w:rsid w:val="00EB679F"/>
    <w:rsid w:val="00ED7EB8"/>
    <w:rsid w:val="00EE5B28"/>
    <w:rsid w:val="00EF4173"/>
    <w:rsid w:val="00EF5078"/>
    <w:rsid w:val="00F021F8"/>
    <w:rsid w:val="00F37D6D"/>
    <w:rsid w:val="00F41470"/>
    <w:rsid w:val="00F66207"/>
    <w:rsid w:val="00F7204F"/>
    <w:rsid w:val="00F73E2B"/>
    <w:rsid w:val="00F77A1F"/>
    <w:rsid w:val="00FB1F76"/>
    <w:rsid w:val="00FB5C78"/>
    <w:rsid w:val="00FB65A1"/>
    <w:rsid w:val="00FC6ABD"/>
    <w:rsid w:val="00FD3DD2"/>
    <w:rsid w:val="09CA24F5"/>
    <w:rsid w:val="257C521C"/>
    <w:rsid w:val="2C5A6635"/>
    <w:rsid w:val="2E8F3924"/>
    <w:rsid w:val="343E1C42"/>
    <w:rsid w:val="37F409C7"/>
    <w:rsid w:val="3A6E0DBA"/>
    <w:rsid w:val="3DEF5ABA"/>
    <w:rsid w:val="3E6B548A"/>
    <w:rsid w:val="420F04B1"/>
    <w:rsid w:val="424D0EAA"/>
    <w:rsid w:val="425517E2"/>
    <w:rsid w:val="42784304"/>
    <w:rsid w:val="44170D0D"/>
    <w:rsid w:val="477C4F69"/>
    <w:rsid w:val="4E057748"/>
    <w:rsid w:val="539005B7"/>
    <w:rsid w:val="59BA507E"/>
    <w:rsid w:val="5C1F026F"/>
    <w:rsid w:val="6AC314CD"/>
    <w:rsid w:val="7104283A"/>
    <w:rsid w:val="71E55771"/>
    <w:rsid w:val="776A60A0"/>
    <w:rsid w:val="7B3537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4"/>
    <w:semiHidden/>
    <w:qFormat/>
    <w:uiPriority w:val="0"/>
    <w:rPr>
      <w:sz w:val="18"/>
      <w:szCs w:val="18"/>
    </w:rPr>
  </w:style>
  <w:style w:type="paragraph" w:styleId="3">
    <w:name w:val="footer"/>
    <w:basedOn w:val="1"/>
    <w:link w:val="12"/>
    <w:qFormat/>
    <w:uiPriority w:val="99"/>
    <w:pPr>
      <w:tabs>
        <w:tab w:val="center" w:pos="4153"/>
        <w:tab w:val="right" w:pos="8306"/>
      </w:tabs>
      <w:snapToGrid w:val="0"/>
      <w:jc w:val="left"/>
    </w:pPr>
    <w:rPr>
      <w:rFonts w:eastAsia="黑体"/>
      <w:snapToGrid w:val="0"/>
      <w:kern w:val="0"/>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6"/>
    <w:qFormat/>
    <w:uiPriority w:val="0"/>
    <w:pPr>
      <w:pBdr>
        <w:top w:val="single" w:color="auto" w:sz="12" w:space="1"/>
        <w:bottom w:val="single" w:color="auto" w:sz="12" w:space="1"/>
      </w:pBdr>
      <w:spacing w:line="600" w:lineRule="exact"/>
      <w:ind w:left="1280" w:hanging="1280" w:hangingChars="400"/>
    </w:pPr>
    <w:rPr>
      <w:rFonts w:eastAsia="仿宋_GB2312"/>
      <w:sz w:val="32"/>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qFormat/>
    <w:uiPriority w:val="0"/>
    <w:rPr>
      <w:rFonts w:cs="Times New Roman"/>
      <w:b/>
      <w:bCs/>
    </w:rPr>
  </w:style>
  <w:style w:type="character" w:styleId="11">
    <w:name w:val="page number"/>
    <w:basedOn w:val="9"/>
    <w:qFormat/>
    <w:uiPriority w:val="0"/>
  </w:style>
  <w:style w:type="character" w:customStyle="1" w:styleId="12">
    <w:name w:val="页脚 Char"/>
    <w:basedOn w:val="9"/>
    <w:link w:val="3"/>
    <w:qFormat/>
    <w:uiPriority w:val="99"/>
    <w:rPr>
      <w:rFonts w:ascii="Times New Roman" w:hAnsi="Times New Roman" w:eastAsia="黑体" w:cs="Times New Roman"/>
      <w:snapToGrid w:val="0"/>
      <w:kern w:val="0"/>
      <w:sz w:val="18"/>
      <w:szCs w:val="18"/>
    </w:rPr>
  </w:style>
  <w:style w:type="paragraph" w:customStyle="1" w:styleId="13">
    <w:name w:val="f1"/>
    <w:basedOn w:val="1"/>
    <w:qFormat/>
    <w:uiPriority w:val="0"/>
    <w:pPr>
      <w:widowControl/>
      <w:spacing w:before="100" w:beforeAutospacing="1" w:after="100" w:afterAutospacing="1"/>
      <w:jc w:val="center"/>
    </w:pPr>
    <w:rPr>
      <w:rFonts w:ascii="Helvetica" w:hAnsi="Helvetica" w:cs="Helvetica"/>
      <w:b/>
      <w:bCs/>
      <w:color w:val="FF8080"/>
      <w:spacing w:val="160"/>
      <w:kern w:val="0"/>
      <w:sz w:val="80"/>
      <w:szCs w:val="80"/>
    </w:rPr>
  </w:style>
  <w:style w:type="character" w:customStyle="1" w:styleId="14">
    <w:name w:val="批注框文本 Char"/>
    <w:basedOn w:val="9"/>
    <w:link w:val="2"/>
    <w:semiHidden/>
    <w:qFormat/>
    <w:uiPriority w:val="0"/>
    <w:rPr>
      <w:rFonts w:ascii="Times New Roman" w:hAnsi="Times New Roman" w:eastAsia="宋体" w:cs="Times New Roman"/>
      <w:sz w:val="18"/>
      <w:szCs w:val="18"/>
    </w:rPr>
  </w:style>
  <w:style w:type="character" w:customStyle="1" w:styleId="15">
    <w:name w:val="页眉 Char"/>
    <w:basedOn w:val="9"/>
    <w:link w:val="4"/>
    <w:qFormat/>
    <w:uiPriority w:val="0"/>
    <w:rPr>
      <w:rFonts w:ascii="Times New Roman" w:hAnsi="Times New Roman" w:eastAsia="宋体" w:cs="Times New Roman"/>
      <w:sz w:val="18"/>
      <w:szCs w:val="18"/>
    </w:rPr>
  </w:style>
  <w:style w:type="character" w:customStyle="1" w:styleId="16">
    <w:name w:val="正文文本缩进 3 Char"/>
    <w:basedOn w:val="9"/>
    <w:link w:val="5"/>
    <w:qFormat/>
    <w:uiPriority w:val="0"/>
    <w:rPr>
      <w:rFonts w:ascii="Times New Roman" w:hAnsi="Times New Roman" w:eastAsia="仿宋_GB2312" w:cs="Times New Roman"/>
      <w:sz w:val="32"/>
      <w:szCs w:val="24"/>
    </w:rPr>
  </w:style>
  <w:style w:type="paragraph" w:styleId="17">
    <w:name w:val="List Paragraph"/>
    <w:basedOn w:val="1"/>
    <w:qFormat/>
    <w:uiPriority w:val="34"/>
    <w:pPr>
      <w:ind w:firstLine="420" w:firstLineChars="200"/>
    </w:pPr>
    <w:rPr>
      <w:rFonts w:ascii="Calibri" w:hAnsi="Calibri"/>
      <w:szCs w:val="22"/>
    </w:rPr>
  </w:style>
  <w:style w:type="paragraph" w:customStyle="1" w:styleId="18">
    <w:name w:val="普通(网站)1"/>
    <w:basedOn w:val="1"/>
    <w:qFormat/>
    <w:uiPriority w:val="0"/>
    <w:rPr>
      <w:rFonts w:ascii="Calibri" w:hAnsi="Calibri" w:cs="黑体"/>
      <w:sz w:val="24"/>
    </w:rPr>
  </w:style>
  <w:style w:type="paragraph" w:customStyle="1" w:styleId="19">
    <w:name w:val="普通(网站)2"/>
    <w:basedOn w:val="1"/>
    <w:qFormat/>
    <w:uiPriority w:val="0"/>
    <w:rPr>
      <w:rFonts w:ascii="Calibri" w:hAnsi="Calibri" w:cs="黑体"/>
      <w:sz w:val="24"/>
    </w:rPr>
  </w:style>
  <w:style w:type="paragraph" w:customStyle="1" w:styleId="20">
    <w:name w:val="普通(网站)3"/>
    <w:basedOn w:val="1"/>
    <w:qFormat/>
    <w:uiPriority w:val="0"/>
    <w:rPr>
      <w:rFonts w:ascii="Calibri" w:hAnsi="Calibri" w:cs="黑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22</Pages>
  <Words>1708</Words>
  <Characters>9740</Characters>
  <Lines>81</Lines>
  <Paragraphs>22</Paragraphs>
  <TotalTime>1</TotalTime>
  <ScaleCrop>false</ScaleCrop>
  <LinksUpToDate>false</LinksUpToDate>
  <CharactersWithSpaces>11426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2019-03-03T09:34:00Z</dcterms:created>
  <dc:creator>王怡</dc:creator>
  <cp:lastModifiedBy>Administrator</cp:lastModifiedBy>
  <cp:lastPrinted>2019-03-04T04:26:00Z</cp:lastPrinted>
  <dcterms:modified xsi:type="dcterms:W3CDTF">2019-08-19T10:06:33Z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